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FCE7A" w14:textId="77777777" w:rsidR="002C74EB" w:rsidRDefault="002C74EB" w:rsidP="002070A5">
      <w:pPr>
        <w:rPr>
          <w:lang w:val="en-GB"/>
        </w:rPr>
      </w:pPr>
    </w:p>
    <w:p w14:paraId="282A77D7" w14:textId="4098E306" w:rsidR="00F774E8" w:rsidRPr="00723FAA" w:rsidRDefault="00ED0715" w:rsidP="00DC4B98">
      <w:pPr>
        <w:pStyle w:val="Title"/>
        <w:rPr>
          <w:sz w:val="40"/>
          <w:szCs w:val="40"/>
          <w:lang w:val="en-GB"/>
        </w:rPr>
      </w:pPr>
      <w:r w:rsidRPr="00723FAA">
        <w:rPr>
          <w:sz w:val="40"/>
          <w:szCs w:val="40"/>
          <w:lang w:val="en-GB"/>
        </w:rPr>
        <w:t>Design Phase of the</w:t>
      </w:r>
      <w:r w:rsidR="00540799" w:rsidRPr="00723FAA">
        <w:rPr>
          <w:sz w:val="40"/>
          <w:szCs w:val="40"/>
          <w:lang w:val="en-GB"/>
        </w:rPr>
        <w:t xml:space="preserve"> Joint Project around the S</w:t>
      </w:r>
      <w:r w:rsidR="002C74EB" w:rsidRPr="00723FAA">
        <w:rPr>
          <w:sz w:val="40"/>
          <w:szCs w:val="40"/>
          <w:lang w:val="en-GB"/>
        </w:rPr>
        <w:t xml:space="preserve">enegal </w:t>
      </w:r>
      <w:r w:rsidR="00540799" w:rsidRPr="00723FAA">
        <w:rPr>
          <w:sz w:val="40"/>
          <w:szCs w:val="40"/>
          <w:lang w:val="en-GB"/>
        </w:rPr>
        <w:t>M</w:t>
      </w:r>
      <w:r w:rsidR="002C74EB" w:rsidRPr="00723FAA">
        <w:rPr>
          <w:sz w:val="40"/>
          <w:szCs w:val="40"/>
          <w:lang w:val="en-GB"/>
        </w:rPr>
        <w:t xml:space="preserve">auritanian </w:t>
      </w:r>
      <w:r w:rsidR="00540799" w:rsidRPr="00723FAA">
        <w:rPr>
          <w:sz w:val="40"/>
          <w:szCs w:val="40"/>
          <w:lang w:val="en-GB"/>
        </w:rPr>
        <w:t>A</w:t>
      </w:r>
      <w:r w:rsidR="002C74EB" w:rsidRPr="00723FAA">
        <w:rPr>
          <w:sz w:val="40"/>
          <w:szCs w:val="40"/>
          <w:lang w:val="en-GB"/>
        </w:rPr>
        <w:t xml:space="preserve">quifer </w:t>
      </w:r>
      <w:r w:rsidR="00540799" w:rsidRPr="00723FAA">
        <w:rPr>
          <w:sz w:val="40"/>
          <w:szCs w:val="40"/>
          <w:lang w:val="en-GB"/>
        </w:rPr>
        <w:t>B</w:t>
      </w:r>
      <w:r w:rsidR="002C74EB" w:rsidRPr="00723FAA">
        <w:rPr>
          <w:sz w:val="40"/>
          <w:szCs w:val="40"/>
          <w:lang w:val="en-GB"/>
        </w:rPr>
        <w:t>asin</w:t>
      </w:r>
      <w:r w:rsidR="00540799" w:rsidRPr="00723FAA">
        <w:rPr>
          <w:sz w:val="40"/>
          <w:szCs w:val="40"/>
          <w:lang w:val="en-GB"/>
        </w:rPr>
        <w:t xml:space="preserve"> le</w:t>
      </w:r>
      <w:r w:rsidR="002C74EB" w:rsidRPr="00723FAA">
        <w:rPr>
          <w:sz w:val="40"/>
          <w:szCs w:val="40"/>
          <w:lang w:val="en-GB"/>
        </w:rPr>
        <w:t>d by the Regional Working Group</w:t>
      </w:r>
    </w:p>
    <w:p w14:paraId="3142FD78" w14:textId="2C27017A" w:rsidR="001801F7" w:rsidRPr="001801F7" w:rsidRDefault="001801F7" w:rsidP="001801F7">
      <w:pPr>
        <w:ind w:left="0"/>
        <w:rPr>
          <w:lang w:val="en-GB"/>
        </w:rPr>
      </w:pPr>
    </w:p>
    <w:p w14:paraId="4F32A43B" w14:textId="0E89036E" w:rsidR="002C74EB" w:rsidRPr="001801F7" w:rsidRDefault="002C74EB" w:rsidP="002070A5">
      <w:pPr>
        <w:rPr>
          <w:lang w:val="en-GB"/>
        </w:rPr>
      </w:pPr>
    </w:p>
    <w:p w14:paraId="7E04A2BA" w14:textId="7EF41511" w:rsidR="003A349F" w:rsidRPr="00BD127C" w:rsidRDefault="001801F7" w:rsidP="00DC4B98">
      <w:pPr>
        <w:pStyle w:val="Title"/>
        <w:rPr>
          <w:sz w:val="52"/>
          <w:szCs w:val="52"/>
          <w:lang w:val="en-GB"/>
        </w:rPr>
      </w:pPr>
      <w:r w:rsidRPr="00BD127C">
        <w:rPr>
          <w:sz w:val="52"/>
          <w:szCs w:val="52"/>
          <w:lang w:val="en-GB"/>
        </w:rPr>
        <w:t>Deliverable number 3</w:t>
      </w:r>
      <w:r w:rsidR="00303437" w:rsidRPr="00BD127C">
        <w:rPr>
          <w:sz w:val="52"/>
          <w:szCs w:val="52"/>
          <w:lang w:val="en-GB"/>
        </w:rPr>
        <w:t>:</w:t>
      </w:r>
      <w:r w:rsidRPr="00BD127C">
        <w:rPr>
          <w:sz w:val="52"/>
          <w:szCs w:val="52"/>
          <w:lang w:val="en-GB"/>
        </w:rPr>
        <w:t xml:space="preserve"> </w:t>
      </w:r>
    </w:p>
    <w:p w14:paraId="3955441D" w14:textId="04FFB6BC" w:rsidR="002C74EB" w:rsidRPr="00BD127C" w:rsidRDefault="003A349F" w:rsidP="00DC4B98">
      <w:pPr>
        <w:pStyle w:val="Title"/>
        <w:rPr>
          <w:sz w:val="52"/>
          <w:szCs w:val="52"/>
          <w:lang w:val="en-GB"/>
        </w:rPr>
      </w:pPr>
      <w:r w:rsidRPr="00BD127C">
        <w:rPr>
          <w:rFonts w:cstheme="majorHAnsi"/>
          <w:sz w:val="52"/>
          <w:szCs w:val="52"/>
          <w:lang w:val="en-GB"/>
        </w:rPr>
        <w:t xml:space="preserve">Report </w:t>
      </w:r>
      <w:r w:rsidR="001801F7" w:rsidRPr="00BD127C">
        <w:rPr>
          <w:sz w:val="52"/>
          <w:szCs w:val="52"/>
          <w:lang w:val="en-GB"/>
        </w:rPr>
        <w:t>on the extent and recharge of the SMAB</w:t>
      </w:r>
    </w:p>
    <w:p w14:paraId="05D120EB" w14:textId="7FC14E11" w:rsidR="002C74EB" w:rsidRDefault="002C74EB" w:rsidP="00540799">
      <w:pPr>
        <w:rPr>
          <w:lang w:val="en-GB"/>
        </w:rPr>
      </w:pPr>
    </w:p>
    <w:p w14:paraId="35DCE2D4" w14:textId="77777777" w:rsidR="003A349F" w:rsidRDefault="003A349F" w:rsidP="00540799">
      <w:pPr>
        <w:rPr>
          <w:lang w:val="en-GB"/>
        </w:rPr>
      </w:pPr>
    </w:p>
    <w:p w14:paraId="666ADBB2" w14:textId="77777777" w:rsidR="00DC4B98" w:rsidRDefault="00DC4B98" w:rsidP="00540799">
      <w:pPr>
        <w:rPr>
          <w:lang w:val="en-GB"/>
        </w:rPr>
      </w:pPr>
    </w:p>
    <w:p w14:paraId="18070CDF" w14:textId="77777777" w:rsidR="001801F7" w:rsidRDefault="001801F7" w:rsidP="00540799">
      <w:pPr>
        <w:rPr>
          <w:lang w:val="en-GB"/>
        </w:rPr>
      </w:pPr>
    </w:p>
    <w:p w14:paraId="6DAFA842" w14:textId="54DBA69A" w:rsidR="002C74EB" w:rsidRPr="002E2314" w:rsidRDefault="00D9194E" w:rsidP="00540799">
      <w:pPr>
        <w:rPr>
          <w:sz w:val="24"/>
          <w:lang w:val="en-GB"/>
        </w:rPr>
      </w:pPr>
      <w:r>
        <w:rPr>
          <w:sz w:val="24"/>
          <w:lang w:val="en-GB"/>
        </w:rPr>
        <w:t xml:space="preserve">DOCUMENT </w:t>
      </w:r>
      <w:r w:rsidR="001801F7" w:rsidRPr="002E2314">
        <w:rPr>
          <w:sz w:val="24"/>
          <w:lang w:val="en-GB"/>
        </w:rPr>
        <w:t xml:space="preserve">STATUS: </w:t>
      </w:r>
      <w:r w:rsidR="00FA709F">
        <w:rPr>
          <w:sz w:val="24"/>
          <w:lang w:val="en-GB"/>
        </w:rPr>
        <w:t>APPROVED</w:t>
      </w:r>
      <w:r w:rsidR="001801F7" w:rsidRPr="002E2314">
        <w:rPr>
          <w:sz w:val="24"/>
          <w:lang w:val="en-GB"/>
        </w:rPr>
        <w:t xml:space="preserve"> BY THE REGIONAL WORKING GROUP</w:t>
      </w:r>
    </w:p>
    <w:p w14:paraId="6438A449" w14:textId="6CF1701D" w:rsidR="003A349F" w:rsidRDefault="003A349F" w:rsidP="00540799">
      <w:pPr>
        <w:rPr>
          <w:lang w:val="en-GB"/>
        </w:rPr>
      </w:pPr>
    </w:p>
    <w:p w14:paraId="32A644FC" w14:textId="0BE301BC" w:rsidR="00D9194E" w:rsidRDefault="00C83D85" w:rsidP="00DE57B3">
      <w:pPr>
        <w:tabs>
          <w:tab w:val="left" w:pos="2637"/>
        </w:tabs>
        <w:rPr>
          <w:lang w:val="en-GB"/>
        </w:rPr>
      </w:pPr>
      <w:r>
        <w:rPr>
          <w:lang w:val="en-GB"/>
        </w:rPr>
        <w:tab/>
      </w:r>
    </w:p>
    <w:tbl>
      <w:tblPr>
        <w:tblW w:w="10164" w:type="dxa"/>
        <w:tblInd w:w="-567" w:type="dxa"/>
        <w:tblLayout w:type="fixed"/>
        <w:tblLook w:val="04A0" w:firstRow="1" w:lastRow="0" w:firstColumn="1" w:lastColumn="0" w:noHBand="0" w:noVBand="1"/>
      </w:tblPr>
      <w:tblGrid>
        <w:gridCol w:w="3256"/>
        <w:gridCol w:w="3221"/>
        <w:gridCol w:w="3687"/>
      </w:tblGrid>
      <w:tr w:rsidR="009B7835" w:rsidRPr="00370EFC" w14:paraId="268926F8" w14:textId="77777777" w:rsidTr="00EC6353">
        <w:trPr>
          <w:trHeight w:val="2041"/>
        </w:trPr>
        <w:tc>
          <w:tcPr>
            <w:tcW w:w="3256" w:type="dxa"/>
            <w:shd w:val="clear" w:color="auto" w:fill="auto"/>
            <w:vAlign w:val="center"/>
          </w:tcPr>
          <w:p w14:paraId="18C0659F" w14:textId="77777777" w:rsidR="009B7835" w:rsidRPr="008C2095" w:rsidRDefault="009B7835" w:rsidP="00EC6353">
            <w:pPr>
              <w:pStyle w:val="Header"/>
              <w:spacing w:before="0" w:after="0"/>
              <w:ind w:left="0"/>
              <w:jc w:val="left"/>
              <w:rPr>
                <w:sz w:val="12"/>
                <w:szCs w:val="12"/>
                <w:lang w:val="en-GB"/>
              </w:rPr>
            </w:pPr>
            <w:r w:rsidRPr="00370EFC">
              <w:rPr>
                <w:noProof/>
                <w:lang w:eastAsia="fr-CH"/>
              </w:rPr>
              <w:drawing>
                <wp:anchor distT="0" distB="0" distL="114300" distR="114300" simplePos="0" relativeHeight="251658241" behindDoc="1" locked="0" layoutInCell="1" allowOverlap="1" wp14:anchorId="12369807" wp14:editId="47183081">
                  <wp:simplePos x="0" y="0"/>
                  <wp:positionH relativeFrom="column">
                    <wp:posOffset>-18415</wp:posOffset>
                  </wp:positionH>
                  <wp:positionV relativeFrom="paragraph">
                    <wp:posOffset>17780</wp:posOffset>
                  </wp:positionV>
                  <wp:extent cx="1828800" cy="558800"/>
                  <wp:effectExtent l="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H"/>
              </w:rPr>
              <w:drawing>
                <wp:anchor distT="0" distB="0" distL="114300" distR="114300" simplePos="0" relativeHeight="251658242" behindDoc="1" locked="0" layoutInCell="1" allowOverlap="1" wp14:anchorId="7DFA99F7" wp14:editId="11F19CAF">
                  <wp:simplePos x="0" y="0"/>
                  <wp:positionH relativeFrom="column">
                    <wp:posOffset>36830</wp:posOffset>
                  </wp:positionH>
                  <wp:positionV relativeFrom="paragraph">
                    <wp:posOffset>813435</wp:posOffset>
                  </wp:positionV>
                  <wp:extent cx="1390650" cy="420370"/>
                  <wp:effectExtent l="0" t="0" r="0" b="0"/>
                  <wp:wrapTight wrapText="bothSides">
                    <wp:wrapPolygon edited="0">
                      <wp:start x="296" y="0"/>
                      <wp:lineTo x="0" y="2937"/>
                      <wp:lineTo x="0" y="14683"/>
                      <wp:lineTo x="1479" y="20556"/>
                      <wp:lineTo x="2367" y="20556"/>
                      <wp:lineTo x="5918" y="20556"/>
                      <wp:lineTo x="21304" y="16640"/>
                      <wp:lineTo x="21304" y="6852"/>
                      <wp:lineTo x="7989" y="0"/>
                      <wp:lineTo x="29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420370"/>
                          </a:xfrm>
                          <a:prstGeom prst="rect">
                            <a:avLst/>
                          </a:prstGeom>
                          <a:noFill/>
                        </pic:spPr>
                      </pic:pic>
                    </a:graphicData>
                  </a:graphic>
                  <wp14:sizeRelH relativeFrom="margin">
                    <wp14:pctWidth>0</wp14:pctWidth>
                  </wp14:sizeRelH>
                  <wp14:sizeRelV relativeFrom="margin">
                    <wp14:pctHeight>0</wp14:pctHeight>
                  </wp14:sizeRelV>
                </wp:anchor>
              </w:drawing>
            </w:r>
            <w:r w:rsidRPr="008C2095">
              <w:rPr>
                <w:lang w:val="en-GB"/>
              </w:rPr>
              <w:br/>
            </w:r>
          </w:p>
        </w:tc>
        <w:tc>
          <w:tcPr>
            <w:tcW w:w="3221" w:type="dxa"/>
          </w:tcPr>
          <w:p w14:paraId="280747D3" w14:textId="77777777" w:rsidR="009B7835" w:rsidRPr="00370EFC" w:rsidRDefault="009B7835" w:rsidP="00EC6353">
            <w:pPr>
              <w:pStyle w:val="Header"/>
              <w:spacing w:before="0" w:after="0"/>
              <w:ind w:left="0"/>
              <w:jc w:val="center"/>
              <w:rPr>
                <w:rFonts w:ascii="TheSans-Caps" w:hAnsi="TheSans-Caps"/>
                <w:noProof/>
                <w:sz w:val="18"/>
                <w:szCs w:val="16"/>
                <w:lang w:eastAsia="fr-CH"/>
              </w:rPr>
            </w:pPr>
            <w:r w:rsidRPr="00370EFC">
              <w:rPr>
                <w:rFonts w:ascii="TheSans-Caps" w:hAnsi="TheSans-Caps"/>
                <w:noProof/>
                <w:sz w:val="18"/>
                <w:szCs w:val="16"/>
                <w:lang w:eastAsia="fr-CH"/>
              </w:rPr>
              <w:drawing>
                <wp:inline distT="0" distB="0" distL="0" distR="0" wp14:anchorId="7D14941A" wp14:editId="1982A1EF">
                  <wp:extent cx="1026154" cy="885825"/>
                  <wp:effectExtent l="0" t="0" r="317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7980" cy="887401"/>
                          </a:xfrm>
                          <a:prstGeom prst="rect">
                            <a:avLst/>
                          </a:prstGeom>
                          <a:noFill/>
                          <a:ln>
                            <a:noFill/>
                          </a:ln>
                        </pic:spPr>
                      </pic:pic>
                    </a:graphicData>
                  </a:graphic>
                </wp:inline>
              </w:drawing>
            </w:r>
          </w:p>
        </w:tc>
        <w:tc>
          <w:tcPr>
            <w:tcW w:w="3687" w:type="dxa"/>
            <w:shd w:val="clear" w:color="auto" w:fill="auto"/>
          </w:tcPr>
          <w:p w14:paraId="3A5B32EF" w14:textId="77777777" w:rsidR="009B7835" w:rsidRPr="00370EFC" w:rsidRDefault="009B7835" w:rsidP="00EC6353">
            <w:pPr>
              <w:pStyle w:val="Header"/>
              <w:spacing w:before="0" w:after="0"/>
              <w:ind w:left="0"/>
              <w:jc w:val="right"/>
              <w:rPr>
                <w:rFonts w:ascii="National Light" w:hAnsi="National Light"/>
                <w:color w:val="4F81BD"/>
                <w:sz w:val="16"/>
                <w:szCs w:val="16"/>
              </w:rPr>
            </w:pPr>
            <w:r w:rsidRPr="00370EFC">
              <w:rPr>
                <w:rFonts w:ascii="TheSans-Caps" w:hAnsi="TheSans-Caps"/>
                <w:sz w:val="18"/>
                <w:szCs w:val="16"/>
              </w:rPr>
              <w:br/>
            </w:r>
          </w:p>
          <w:p w14:paraId="57BDC706" w14:textId="77777777" w:rsidR="009B7835" w:rsidRPr="00370EFC" w:rsidRDefault="009B7835" w:rsidP="00EC6353">
            <w:pPr>
              <w:pStyle w:val="Header"/>
              <w:spacing w:before="0" w:after="0"/>
              <w:ind w:left="0"/>
              <w:jc w:val="right"/>
            </w:pPr>
            <w:r w:rsidRPr="00D20594">
              <w:rPr>
                <w:noProof/>
                <w:lang w:eastAsia="fr-CH"/>
              </w:rPr>
              <w:drawing>
                <wp:anchor distT="0" distB="0" distL="114300" distR="114300" simplePos="0" relativeHeight="251658240" behindDoc="0" locked="0" layoutInCell="1" allowOverlap="1" wp14:anchorId="438B044C" wp14:editId="4730B379">
                  <wp:simplePos x="0" y="0"/>
                  <wp:positionH relativeFrom="column">
                    <wp:posOffset>259080</wp:posOffset>
                  </wp:positionH>
                  <wp:positionV relativeFrom="paragraph">
                    <wp:posOffset>17780</wp:posOffset>
                  </wp:positionV>
                  <wp:extent cx="1562100" cy="49149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62100" cy="491490"/>
                          </a:xfrm>
                          <a:prstGeom prst="rect">
                            <a:avLst/>
                          </a:prstGeom>
                        </pic:spPr>
                      </pic:pic>
                    </a:graphicData>
                  </a:graphic>
                  <wp14:sizeRelH relativeFrom="page">
                    <wp14:pctWidth>0</wp14:pctWidth>
                  </wp14:sizeRelH>
                  <wp14:sizeRelV relativeFrom="page">
                    <wp14:pctHeight>0</wp14:pctHeight>
                  </wp14:sizeRelV>
                </wp:anchor>
              </w:drawing>
            </w:r>
          </w:p>
        </w:tc>
      </w:tr>
      <w:tr w:rsidR="009B7835" w:rsidRPr="00FA709F" w14:paraId="4A452484" w14:textId="77777777" w:rsidTr="00EC6353">
        <w:trPr>
          <w:trHeight w:val="719"/>
        </w:trPr>
        <w:tc>
          <w:tcPr>
            <w:tcW w:w="3256" w:type="dxa"/>
            <w:shd w:val="clear" w:color="auto" w:fill="auto"/>
            <w:vAlign w:val="center"/>
          </w:tcPr>
          <w:p w14:paraId="76A8C03F" w14:textId="77777777" w:rsidR="009B7835" w:rsidRDefault="009B7835" w:rsidP="00EC6353">
            <w:pPr>
              <w:pStyle w:val="Header"/>
              <w:spacing w:before="0" w:after="0"/>
              <w:ind w:left="0"/>
              <w:jc w:val="left"/>
              <w:rPr>
                <w:rFonts w:asciiTheme="majorHAnsi" w:hAnsiTheme="majorHAnsi" w:cstheme="majorBidi"/>
              </w:rPr>
            </w:pPr>
          </w:p>
          <w:p w14:paraId="42E42E04" w14:textId="37EE56B6" w:rsidR="009B7835" w:rsidRPr="009B7835" w:rsidRDefault="009B7835" w:rsidP="00EC6353">
            <w:pPr>
              <w:pStyle w:val="Header"/>
              <w:spacing w:before="0" w:after="0"/>
              <w:ind w:left="0"/>
              <w:jc w:val="center"/>
              <w:rPr>
                <w:rFonts w:ascii="TheSans-Caps" w:hAnsi="TheSans-Caps"/>
                <w:noProof/>
                <w:sz w:val="20"/>
                <w:szCs w:val="20"/>
                <w:lang w:val="en-GB" w:eastAsia="fr-CH"/>
              </w:rPr>
            </w:pPr>
            <w:r w:rsidRPr="009B7835">
              <w:rPr>
                <w:rFonts w:asciiTheme="majorHAnsi" w:hAnsiTheme="majorHAnsi" w:cstheme="majorBidi"/>
                <w:sz w:val="20"/>
                <w:szCs w:val="20"/>
                <w:lang w:val="en-GB"/>
              </w:rPr>
              <w:t>With the financial support of</w:t>
            </w:r>
          </w:p>
        </w:tc>
        <w:tc>
          <w:tcPr>
            <w:tcW w:w="3221" w:type="dxa"/>
          </w:tcPr>
          <w:p w14:paraId="46C6367B" w14:textId="77777777" w:rsidR="009B7835" w:rsidRPr="009B7835" w:rsidRDefault="009B7835" w:rsidP="00EC6353">
            <w:pPr>
              <w:pStyle w:val="Header"/>
              <w:spacing w:before="0" w:after="0"/>
              <w:ind w:left="0"/>
              <w:jc w:val="center"/>
              <w:rPr>
                <w:noProof/>
                <w:lang w:val="en-GB" w:eastAsia="fr-CH"/>
              </w:rPr>
            </w:pPr>
          </w:p>
        </w:tc>
        <w:tc>
          <w:tcPr>
            <w:tcW w:w="3687" w:type="dxa"/>
            <w:shd w:val="clear" w:color="auto" w:fill="auto"/>
          </w:tcPr>
          <w:p w14:paraId="3D24DD28" w14:textId="77777777" w:rsidR="009B7835" w:rsidRPr="009B7835" w:rsidRDefault="009B7835" w:rsidP="00EC6353">
            <w:pPr>
              <w:pStyle w:val="Header"/>
              <w:spacing w:before="0" w:after="0"/>
              <w:ind w:left="0"/>
              <w:jc w:val="right"/>
              <w:rPr>
                <w:rFonts w:ascii="TheSans-Caps" w:hAnsi="TheSans-Caps"/>
                <w:sz w:val="18"/>
                <w:szCs w:val="16"/>
                <w:lang w:val="en-GB"/>
              </w:rPr>
            </w:pPr>
          </w:p>
        </w:tc>
      </w:tr>
      <w:tr w:rsidR="009B7835" w:rsidRPr="00723FAA" w14:paraId="6CF51BC0" w14:textId="77777777" w:rsidTr="00C83D85">
        <w:trPr>
          <w:trHeight w:val="1701"/>
        </w:trPr>
        <w:tc>
          <w:tcPr>
            <w:tcW w:w="3256" w:type="dxa"/>
            <w:shd w:val="clear" w:color="auto" w:fill="auto"/>
            <w:vAlign w:val="center"/>
          </w:tcPr>
          <w:p w14:paraId="5996C5C0" w14:textId="77777777" w:rsidR="009B7835" w:rsidRPr="009B7835" w:rsidRDefault="009B7835" w:rsidP="00EC6353">
            <w:pPr>
              <w:pStyle w:val="Header"/>
              <w:spacing w:before="0" w:after="0"/>
              <w:ind w:left="0"/>
              <w:jc w:val="left"/>
              <w:rPr>
                <w:rFonts w:asciiTheme="majorHAnsi" w:hAnsiTheme="majorHAnsi" w:cstheme="majorBidi"/>
                <w:lang w:val="en-GB"/>
              </w:rPr>
            </w:pPr>
          </w:p>
        </w:tc>
        <w:tc>
          <w:tcPr>
            <w:tcW w:w="3221" w:type="dxa"/>
            <w:vAlign w:val="center"/>
          </w:tcPr>
          <w:p w14:paraId="082D42E0" w14:textId="77777777" w:rsidR="009B7835" w:rsidRPr="009B7835" w:rsidRDefault="009B7835" w:rsidP="00C83D85">
            <w:pPr>
              <w:pStyle w:val="Header"/>
              <w:spacing w:before="0" w:after="0"/>
              <w:ind w:left="0"/>
              <w:jc w:val="center"/>
              <w:rPr>
                <w:noProof/>
                <w:lang w:val="en-GB" w:eastAsia="fr-CH"/>
              </w:rPr>
            </w:pPr>
            <w:r>
              <w:rPr>
                <w:noProof/>
                <w:lang w:eastAsia="fr-CH"/>
              </w:rPr>
              <w:drawing>
                <wp:inline distT="0" distB="0" distL="0" distR="0" wp14:anchorId="0E3D7871" wp14:editId="07E4777D">
                  <wp:extent cx="1076325" cy="70167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701675"/>
                          </a:xfrm>
                          <a:prstGeom prst="rect">
                            <a:avLst/>
                          </a:prstGeom>
                          <a:noFill/>
                        </pic:spPr>
                      </pic:pic>
                    </a:graphicData>
                  </a:graphic>
                </wp:inline>
              </w:drawing>
            </w:r>
          </w:p>
        </w:tc>
        <w:tc>
          <w:tcPr>
            <w:tcW w:w="3687" w:type="dxa"/>
            <w:shd w:val="clear" w:color="auto" w:fill="auto"/>
            <w:vAlign w:val="center"/>
          </w:tcPr>
          <w:p w14:paraId="4B6B42F9" w14:textId="77777777" w:rsidR="009B7835" w:rsidRPr="009B7835" w:rsidRDefault="009B7835" w:rsidP="00C83D85">
            <w:pPr>
              <w:pStyle w:val="Header"/>
              <w:spacing w:before="0" w:after="0"/>
              <w:ind w:left="0"/>
              <w:jc w:val="center"/>
              <w:rPr>
                <w:noProof/>
                <w:lang w:val="en-GB" w:eastAsia="fr-CH"/>
              </w:rPr>
            </w:pPr>
            <w:r>
              <w:rPr>
                <w:noProof/>
                <w:lang w:eastAsia="fr-CH"/>
              </w:rPr>
              <w:drawing>
                <wp:inline distT="0" distB="0" distL="0" distR="0" wp14:anchorId="10610F5D" wp14:editId="491CFD5B">
                  <wp:extent cx="1457325" cy="66421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SDC.png"/>
                          <pic:cNvPicPr/>
                        </pic:nvPicPr>
                        <pic:blipFill>
                          <a:blip r:embed="rId16">
                            <a:extLst>
                              <a:ext uri="{28A0092B-C50C-407E-A947-70E740481C1C}">
                                <a14:useLocalDpi xmlns:a14="http://schemas.microsoft.com/office/drawing/2010/main" val="0"/>
                              </a:ext>
                            </a:extLst>
                          </a:blip>
                          <a:stretch>
                            <a:fillRect/>
                          </a:stretch>
                        </pic:blipFill>
                        <pic:spPr>
                          <a:xfrm>
                            <a:off x="0" y="0"/>
                            <a:ext cx="1457325" cy="664214"/>
                          </a:xfrm>
                          <a:prstGeom prst="rect">
                            <a:avLst/>
                          </a:prstGeom>
                        </pic:spPr>
                      </pic:pic>
                    </a:graphicData>
                  </a:graphic>
                </wp:inline>
              </w:drawing>
            </w:r>
          </w:p>
        </w:tc>
      </w:tr>
    </w:tbl>
    <w:p w14:paraId="354A7839" w14:textId="77777777" w:rsidR="00382983" w:rsidRPr="00D9194E" w:rsidRDefault="00382983" w:rsidP="00540799">
      <w:pPr>
        <w:rPr>
          <w:sz w:val="2"/>
          <w:szCs w:val="2"/>
          <w:lang w:val="en-GB"/>
        </w:rPr>
      </w:pPr>
    </w:p>
    <w:p w14:paraId="2B2BCE3D" w14:textId="17E7EB09" w:rsidR="00382983" w:rsidRPr="009B7835" w:rsidRDefault="00382983" w:rsidP="006F751C">
      <w:pPr>
        <w:pStyle w:val="Heading2"/>
        <w:rPr>
          <w:lang w:val="en-GB"/>
        </w:rPr>
        <w:sectPr w:rsidR="00382983" w:rsidRPr="009B7835" w:rsidSect="00ED3ED6">
          <w:headerReference w:type="default" r:id="rId17"/>
          <w:footerReference w:type="default" r:id="rId18"/>
          <w:pgSz w:w="11900" w:h="16840"/>
          <w:pgMar w:top="1417" w:right="843" w:bottom="1417" w:left="1417" w:header="708" w:footer="165" w:gutter="0"/>
          <w:cols w:space="708"/>
        </w:sectPr>
      </w:pPr>
    </w:p>
    <w:sdt>
      <w:sdtPr>
        <w:rPr>
          <w:rFonts w:asciiTheme="minorHAnsi" w:eastAsia="MS Mincho" w:hAnsiTheme="minorHAnsi" w:cs="Times New Roman"/>
          <w:color w:val="auto"/>
          <w:sz w:val="22"/>
          <w:szCs w:val="24"/>
          <w:lang w:val="fr-CH" w:eastAsia="ja-JP"/>
        </w:rPr>
        <w:id w:val="35331493"/>
        <w:docPartObj>
          <w:docPartGallery w:val="Table of Contents"/>
          <w:docPartUnique/>
        </w:docPartObj>
      </w:sdtPr>
      <w:sdtEndPr>
        <w:rPr>
          <w:b/>
          <w:bCs/>
          <w:noProof/>
        </w:rPr>
      </w:sdtEndPr>
      <w:sdtContent>
        <w:p w14:paraId="0612DEA1" w14:textId="2544A8AC" w:rsidR="00FE7EB8" w:rsidRDefault="00FE7EB8">
          <w:pPr>
            <w:pStyle w:val="TOCHeading"/>
          </w:pPr>
          <w:r>
            <w:t>Table of Contents</w:t>
          </w:r>
        </w:p>
        <w:p w14:paraId="436E5047" w14:textId="75D4C1C6" w:rsidR="003A349F" w:rsidRDefault="00CD5A06">
          <w:pPr>
            <w:pStyle w:val="TOC2"/>
            <w:tabs>
              <w:tab w:val="left" w:pos="660"/>
              <w:tab w:val="right" w:leader="dot" w:pos="9630"/>
            </w:tabs>
            <w:rPr>
              <w:rFonts w:eastAsiaTheme="minorEastAsia" w:cstheme="minorBidi"/>
              <w:noProof/>
              <w:szCs w:val="22"/>
              <w:lang w:eastAsia="fr-CH"/>
            </w:rPr>
          </w:pPr>
          <w:r>
            <w:fldChar w:fldCharType="begin"/>
          </w:r>
          <w:r>
            <w:instrText xml:space="preserve"> TOC \o "1-4" \h \z \u </w:instrText>
          </w:r>
          <w:r>
            <w:fldChar w:fldCharType="separate"/>
          </w:r>
          <w:hyperlink w:anchor="_Toc53651748" w:history="1">
            <w:r w:rsidR="003A349F" w:rsidRPr="00C24FCD">
              <w:rPr>
                <w:rStyle w:val="Hyperlink"/>
                <w:noProof/>
                <w:lang w:val="en-GB"/>
              </w:rPr>
              <w:t>1</w:t>
            </w:r>
            <w:r w:rsidR="003A349F">
              <w:rPr>
                <w:rFonts w:eastAsiaTheme="minorEastAsia" w:cstheme="minorBidi"/>
                <w:noProof/>
                <w:szCs w:val="22"/>
                <w:lang w:eastAsia="fr-CH"/>
              </w:rPr>
              <w:tab/>
            </w:r>
            <w:r w:rsidR="003A349F" w:rsidRPr="00C24FCD">
              <w:rPr>
                <w:rStyle w:val="Hyperlink"/>
                <w:noProof/>
              </w:rPr>
              <w:t>Introduction</w:t>
            </w:r>
            <w:r w:rsidR="003A349F">
              <w:rPr>
                <w:noProof/>
                <w:webHidden/>
              </w:rPr>
              <w:tab/>
            </w:r>
            <w:r w:rsidR="003A349F">
              <w:rPr>
                <w:noProof/>
                <w:webHidden/>
              </w:rPr>
              <w:fldChar w:fldCharType="begin"/>
            </w:r>
            <w:r w:rsidR="003A349F">
              <w:rPr>
                <w:noProof/>
                <w:webHidden/>
              </w:rPr>
              <w:instrText xml:space="preserve"> PAGEREF _Toc53651748 \h </w:instrText>
            </w:r>
            <w:r w:rsidR="003A349F">
              <w:rPr>
                <w:noProof/>
                <w:webHidden/>
              </w:rPr>
            </w:r>
            <w:r w:rsidR="003A349F">
              <w:rPr>
                <w:noProof/>
                <w:webHidden/>
              </w:rPr>
              <w:fldChar w:fldCharType="separate"/>
            </w:r>
            <w:r w:rsidR="005C583E">
              <w:rPr>
                <w:noProof/>
                <w:webHidden/>
              </w:rPr>
              <w:t>3</w:t>
            </w:r>
            <w:r w:rsidR="003A349F">
              <w:rPr>
                <w:noProof/>
                <w:webHidden/>
              </w:rPr>
              <w:fldChar w:fldCharType="end"/>
            </w:r>
          </w:hyperlink>
        </w:p>
        <w:p w14:paraId="7A0A84A3" w14:textId="386D6493" w:rsidR="003A349F" w:rsidRPr="003A349F" w:rsidRDefault="00BF79CE" w:rsidP="003A349F">
          <w:pPr>
            <w:pStyle w:val="TOC3"/>
            <w:rPr>
              <w:rFonts w:eastAsiaTheme="minorEastAsia" w:cstheme="minorBidi"/>
              <w:szCs w:val="22"/>
              <w:lang w:eastAsia="fr-CH"/>
            </w:rPr>
          </w:pPr>
          <w:hyperlink w:anchor="_Toc53651749" w:history="1">
            <w:r w:rsidR="003A349F" w:rsidRPr="003A349F">
              <w:rPr>
                <w:rStyle w:val="Hyperlink"/>
              </w:rPr>
              <w:t>1.1</w:t>
            </w:r>
            <w:r w:rsidR="003A349F" w:rsidRPr="003A349F">
              <w:rPr>
                <w:rFonts w:eastAsiaTheme="minorEastAsia" w:cstheme="minorBidi"/>
                <w:szCs w:val="22"/>
                <w:lang w:eastAsia="fr-CH"/>
              </w:rPr>
              <w:tab/>
            </w:r>
            <w:r w:rsidR="003A349F" w:rsidRPr="003A349F">
              <w:rPr>
                <w:rStyle w:val="Hyperlink"/>
              </w:rPr>
              <w:t>Background</w:t>
            </w:r>
            <w:r w:rsidR="003A349F" w:rsidRPr="003A349F">
              <w:rPr>
                <w:webHidden/>
              </w:rPr>
              <w:tab/>
            </w:r>
            <w:r w:rsidR="003A349F" w:rsidRPr="003A349F">
              <w:rPr>
                <w:webHidden/>
              </w:rPr>
              <w:fldChar w:fldCharType="begin"/>
            </w:r>
            <w:r w:rsidR="003A349F" w:rsidRPr="003A349F">
              <w:rPr>
                <w:webHidden/>
              </w:rPr>
              <w:instrText xml:space="preserve"> PAGEREF _Toc53651749 \h </w:instrText>
            </w:r>
            <w:r w:rsidR="003A349F" w:rsidRPr="003A349F">
              <w:rPr>
                <w:webHidden/>
              </w:rPr>
            </w:r>
            <w:r w:rsidR="003A349F" w:rsidRPr="003A349F">
              <w:rPr>
                <w:webHidden/>
              </w:rPr>
              <w:fldChar w:fldCharType="separate"/>
            </w:r>
            <w:r w:rsidR="005C583E">
              <w:rPr>
                <w:webHidden/>
              </w:rPr>
              <w:t>3</w:t>
            </w:r>
            <w:r w:rsidR="003A349F" w:rsidRPr="003A349F">
              <w:rPr>
                <w:webHidden/>
              </w:rPr>
              <w:fldChar w:fldCharType="end"/>
            </w:r>
          </w:hyperlink>
        </w:p>
        <w:p w14:paraId="008F610C" w14:textId="24263DAA" w:rsidR="003A349F" w:rsidRDefault="00BF79CE" w:rsidP="003A349F">
          <w:pPr>
            <w:pStyle w:val="TOC3"/>
            <w:rPr>
              <w:rFonts w:eastAsiaTheme="minorEastAsia" w:cstheme="minorBidi"/>
              <w:szCs w:val="22"/>
              <w:lang w:eastAsia="fr-CH"/>
            </w:rPr>
          </w:pPr>
          <w:hyperlink w:anchor="_Toc53651750" w:history="1">
            <w:r w:rsidR="003A349F" w:rsidRPr="00C24FCD">
              <w:rPr>
                <w:rStyle w:val="Hyperlink"/>
              </w:rPr>
              <w:t>1.2</w:t>
            </w:r>
            <w:r w:rsidR="003A349F">
              <w:rPr>
                <w:rFonts w:eastAsiaTheme="minorEastAsia" w:cstheme="minorBidi"/>
                <w:szCs w:val="22"/>
                <w:lang w:eastAsia="fr-CH"/>
              </w:rPr>
              <w:tab/>
            </w:r>
            <w:r w:rsidR="003A349F" w:rsidRPr="00C24FCD">
              <w:rPr>
                <w:rStyle w:val="Hyperlink"/>
              </w:rPr>
              <w:t>General Objective</w:t>
            </w:r>
            <w:r w:rsidR="003A349F">
              <w:rPr>
                <w:webHidden/>
              </w:rPr>
              <w:tab/>
            </w:r>
            <w:r w:rsidR="003A349F">
              <w:rPr>
                <w:webHidden/>
              </w:rPr>
              <w:fldChar w:fldCharType="begin"/>
            </w:r>
            <w:r w:rsidR="003A349F">
              <w:rPr>
                <w:webHidden/>
              </w:rPr>
              <w:instrText xml:space="preserve"> PAGEREF _Toc53651750 \h </w:instrText>
            </w:r>
            <w:r w:rsidR="003A349F">
              <w:rPr>
                <w:webHidden/>
              </w:rPr>
            </w:r>
            <w:r w:rsidR="003A349F">
              <w:rPr>
                <w:webHidden/>
              </w:rPr>
              <w:fldChar w:fldCharType="separate"/>
            </w:r>
            <w:r w:rsidR="005C583E">
              <w:rPr>
                <w:webHidden/>
              </w:rPr>
              <w:t>3</w:t>
            </w:r>
            <w:r w:rsidR="003A349F">
              <w:rPr>
                <w:webHidden/>
              </w:rPr>
              <w:fldChar w:fldCharType="end"/>
            </w:r>
          </w:hyperlink>
        </w:p>
        <w:p w14:paraId="178AB858" w14:textId="662BCA7B" w:rsidR="003A349F" w:rsidRDefault="00BF79CE">
          <w:pPr>
            <w:pStyle w:val="TOC2"/>
            <w:tabs>
              <w:tab w:val="left" w:pos="660"/>
              <w:tab w:val="right" w:leader="dot" w:pos="9630"/>
            </w:tabs>
            <w:rPr>
              <w:rFonts w:eastAsiaTheme="minorEastAsia" w:cstheme="minorBidi"/>
              <w:noProof/>
              <w:szCs w:val="22"/>
              <w:lang w:eastAsia="fr-CH"/>
            </w:rPr>
          </w:pPr>
          <w:hyperlink w:anchor="_Toc53651751" w:history="1">
            <w:r w:rsidR="003A349F" w:rsidRPr="00C24FCD">
              <w:rPr>
                <w:rStyle w:val="Hyperlink"/>
                <w:noProof/>
                <w:lang w:val="en-GB"/>
              </w:rPr>
              <w:t>2</w:t>
            </w:r>
            <w:r w:rsidR="003A349F">
              <w:rPr>
                <w:rFonts w:eastAsiaTheme="minorEastAsia" w:cstheme="minorBidi"/>
                <w:noProof/>
                <w:szCs w:val="22"/>
                <w:lang w:eastAsia="fr-CH"/>
              </w:rPr>
              <w:tab/>
            </w:r>
            <w:r w:rsidR="003A349F" w:rsidRPr="00C24FCD">
              <w:rPr>
                <w:rStyle w:val="Hyperlink"/>
                <w:noProof/>
                <w:lang w:val="en-GB"/>
              </w:rPr>
              <w:t>Groundwater in the SMAB</w:t>
            </w:r>
            <w:r w:rsidR="003A349F">
              <w:rPr>
                <w:noProof/>
                <w:webHidden/>
              </w:rPr>
              <w:tab/>
            </w:r>
            <w:r w:rsidR="003A349F">
              <w:rPr>
                <w:noProof/>
                <w:webHidden/>
              </w:rPr>
              <w:fldChar w:fldCharType="begin"/>
            </w:r>
            <w:r w:rsidR="003A349F">
              <w:rPr>
                <w:noProof/>
                <w:webHidden/>
              </w:rPr>
              <w:instrText xml:space="preserve"> PAGEREF _Toc53651751 \h </w:instrText>
            </w:r>
            <w:r w:rsidR="003A349F">
              <w:rPr>
                <w:noProof/>
                <w:webHidden/>
              </w:rPr>
            </w:r>
            <w:r w:rsidR="003A349F">
              <w:rPr>
                <w:noProof/>
                <w:webHidden/>
              </w:rPr>
              <w:fldChar w:fldCharType="separate"/>
            </w:r>
            <w:r w:rsidR="005C583E">
              <w:rPr>
                <w:noProof/>
                <w:webHidden/>
              </w:rPr>
              <w:t>3</w:t>
            </w:r>
            <w:r w:rsidR="003A349F">
              <w:rPr>
                <w:noProof/>
                <w:webHidden/>
              </w:rPr>
              <w:fldChar w:fldCharType="end"/>
            </w:r>
          </w:hyperlink>
        </w:p>
        <w:p w14:paraId="3FCEB72D" w14:textId="5AC8378E" w:rsidR="003A349F" w:rsidRDefault="00BF79CE" w:rsidP="003A349F">
          <w:pPr>
            <w:pStyle w:val="TOC3"/>
            <w:rPr>
              <w:rFonts w:eastAsiaTheme="minorEastAsia" w:cstheme="minorBidi"/>
              <w:szCs w:val="22"/>
              <w:lang w:eastAsia="fr-CH"/>
            </w:rPr>
          </w:pPr>
          <w:hyperlink w:anchor="_Toc53651752" w:history="1">
            <w:r w:rsidR="003A349F" w:rsidRPr="00C24FCD">
              <w:rPr>
                <w:rStyle w:val="Hyperlink"/>
              </w:rPr>
              <w:t>2.1</w:t>
            </w:r>
            <w:r w:rsidR="003A349F">
              <w:rPr>
                <w:rFonts w:eastAsiaTheme="minorEastAsia" w:cstheme="minorBidi"/>
                <w:szCs w:val="22"/>
                <w:lang w:eastAsia="fr-CH"/>
              </w:rPr>
              <w:tab/>
            </w:r>
            <w:r w:rsidR="003A349F" w:rsidRPr="00C24FCD">
              <w:rPr>
                <w:rStyle w:val="Hyperlink"/>
              </w:rPr>
              <w:t>Groundwater, the Main Source of Water in the SMAB</w:t>
            </w:r>
            <w:r w:rsidR="003A349F">
              <w:rPr>
                <w:webHidden/>
              </w:rPr>
              <w:tab/>
            </w:r>
            <w:r w:rsidR="003A349F">
              <w:rPr>
                <w:webHidden/>
              </w:rPr>
              <w:fldChar w:fldCharType="begin"/>
            </w:r>
            <w:r w:rsidR="003A349F">
              <w:rPr>
                <w:webHidden/>
              </w:rPr>
              <w:instrText xml:space="preserve"> PAGEREF _Toc53651752 \h </w:instrText>
            </w:r>
            <w:r w:rsidR="003A349F">
              <w:rPr>
                <w:webHidden/>
              </w:rPr>
            </w:r>
            <w:r w:rsidR="003A349F">
              <w:rPr>
                <w:webHidden/>
              </w:rPr>
              <w:fldChar w:fldCharType="separate"/>
            </w:r>
            <w:r w:rsidR="005C583E">
              <w:rPr>
                <w:webHidden/>
              </w:rPr>
              <w:t>3</w:t>
            </w:r>
            <w:r w:rsidR="003A349F">
              <w:rPr>
                <w:webHidden/>
              </w:rPr>
              <w:fldChar w:fldCharType="end"/>
            </w:r>
          </w:hyperlink>
        </w:p>
        <w:p w14:paraId="785608F5" w14:textId="7A9459B0" w:rsidR="003A349F" w:rsidRDefault="00BF79CE" w:rsidP="003A349F">
          <w:pPr>
            <w:pStyle w:val="TOC3"/>
            <w:rPr>
              <w:rFonts w:eastAsiaTheme="minorEastAsia" w:cstheme="minorBidi"/>
              <w:szCs w:val="22"/>
              <w:lang w:eastAsia="fr-CH"/>
            </w:rPr>
          </w:pPr>
          <w:hyperlink w:anchor="_Toc53651753" w:history="1">
            <w:r w:rsidR="003A349F" w:rsidRPr="00C24FCD">
              <w:rPr>
                <w:rStyle w:val="Hyperlink"/>
              </w:rPr>
              <w:t>2.2</w:t>
            </w:r>
            <w:r w:rsidR="003A349F">
              <w:rPr>
                <w:rFonts w:eastAsiaTheme="minorEastAsia" w:cstheme="minorBidi"/>
                <w:szCs w:val="22"/>
                <w:lang w:eastAsia="fr-CH"/>
              </w:rPr>
              <w:tab/>
            </w:r>
            <w:r w:rsidR="003A349F" w:rsidRPr="00C24FCD">
              <w:rPr>
                <w:rStyle w:val="Hyperlink"/>
              </w:rPr>
              <w:t>The Role of the TBOs in Water Resource Management</w:t>
            </w:r>
            <w:r w:rsidR="003A349F">
              <w:rPr>
                <w:webHidden/>
              </w:rPr>
              <w:tab/>
            </w:r>
            <w:r w:rsidR="003A349F">
              <w:rPr>
                <w:webHidden/>
              </w:rPr>
              <w:fldChar w:fldCharType="begin"/>
            </w:r>
            <w:r w:rsidR="003A349F">
              <w:rPr>
                <w:webHidden/>
              </w:rPr>
              <w:instrText xml:space="preserve"> PAGEREF _Toc53651753 \h </w:instrText>
            </w:r>
            <w:r w:rsidR="003A349F">
              <w:rPr>
                <w:webHidden/>
              </w:rPr>
            </w:r>
            <w:r w:rsidR="003A349F">
              <w:rPr>
                <w:webHidden/>
              </w:rPr>
              <w:fldChar w:fldCharType="separate"/>
            </w:r>
            <w:r w:rsidR="005C583E">
              <w:rPr>
                <w:webHidden/>
              </w:rPr>
              <w:t>4</w:t>
            </w:r>
            <w:r w:rsidR="003A349F">
              <w:rPr>
                <w:webHidden/>
              </w:rPr>
              <w:fldChar w:fldCharType="end"/>
            </w:r>
          </w:hyperlink>
        </w:p>
        <w:p w14:paraId="17A28BCD" w14:textId="1771E7EB" w:rsidR="003A349F" w:rsidRDefault="00BF79CE">
          <w:pPr>
            <w:pStyle w:val="TOC2"/>
            <w:tabs>
              <w:tab w:val="left" w:pos="660"/>
              <w:tab w:val="right" w:leader="dot" w:pos="9630"/>
            </w:tabs>
            <w:rPr>
              <w:rFonts w:eastAsiaTheme="minorEastAsia" w:cstheme="minorBidi"/>
              <w:noProof/>
              <w:szCs w:val="22"/>
              <w:lang w:eastAsia="fr-CH"/>
            </w:rPr>
          </w:pPr>
          <w:hyperlink w:anchor="_Toc53651754" w:history="1">
            <w:r w:rsidR="003A349F" w:rsidRPr="00C24FCD">
              <w:rPr>
                <w:rStyle w:val="Hyperlink"/>
                <w:noProof/>
                <w:lang w:val="en-GB"/>
              </w:rPr>
              <w:t>3</w:t>
            </w:r>
            <w:r w:rsidR="003A349F">
              <w:rPr>
                <w:rFonts w:eastAsiaTheme="minorEastAsia" w:cstheme="minorBidi"/>
                <w:noProof/>
                <w:szCs w:val="22"/>
                <w:lang w:eastAsia="fr-CH"/>
              </w:rPr>
              <w:tab/>
            </w:r>
            <w:r w:rsidR="003A349F" w:rsidRPr="00C24FCD">
              <w:rPr>
                <w:rStyle w:val="Hyperlink"/>
                <w:noProof/>
                <w:lang w:val="en-GB"/>
              </w:rPr>
              <w:t>SMAB Features</w:t>
            </w:r>
            <w:r w:rsidR="003A349F">
              <w:rPr>
                <w:noProof/>
                <w:webHidden/>
              </w:rPr>
              <w:tab/>
            </w:r>
            <w:r w:rsidR="003A349F">
              <w:rPr>
                <w:noProof/>
                <w:webHidden/>
              </w:rPr>
              <w:fldChar w:fldCharType="begin"/>
            </w:r>
            <w:r w:rsidR="003A349F">
              <w:rPr>
                <w:noProof/>
                <w:webHidden/>
              </w:rPr>
              <w:instrText xml:space="preserve"> PAGEREF _Toc53651754 \h </w:instrText>
            </w:r>
            <w:r w:rsidR="003A349F">
              <w:rPr>
                <w:noProof/>
                <w:webHidden/>
              </w:rPr>
            </w:r>
            <w:r w:rsidR="003A349F">
              <w:rPr>
                <w:noProof/>
                <w:webHidden/>
              </w:rPr>
              <w:fldChar w:fldCharType="separate"/>
            </w:r>
            <w:r w:rsidR="005C583E">
              <w:rPr>
                <w:noProof/>
                <w:webHidden/>
              </w:rPr>
              <w:t>4</w:t>
            </w:r>
            <w:r w:rsidR="003A349F">
              <w:rPr>
                <w:noProof/>
                <w:webHidden/>
              </w:rPr>
              <w:fldChar w:fldCharType="end"/>
            </w:r>
          </w:hyperlink>
        </w:p>
        <w:p w14:paraId="51DA076C" w14:textId="32730644" w:rsidR="003A349F" w:rsidRDefault="00BF79CE" w:rsidP="003A349F">
          <w:pPr>
            <w:pStyle w:val="TOC3"/>
            <w:rPr>
              <w:rFonts w:eastAsiaTheme="minorEastAsia" w:cstheme="minorBidi"/>
              <w:szCs w:val="22"/>
              <w:lang w:eastAsia="fr-CH"/>
            </w:rPr>
          </w:pPr>
          <w:hyperlink w:anchor="_Toc53651755" w:history="1">
            <w:r w:rsidR="003A349F" w:rsidRPr="00C24FCD">
              <w:rPr>
                <w:rStyle w:val="Hyperlink"/>
              </w:rPr>
              <w:t>3.1</w:t>
            </w:r>
            <w:r w:rsidR="003A349F">
              <w:rPr>
                <w:rFonts w:eastAsiaTheme="minorEastAsia" w:cstheme="minorBidi"/>
                <w:szCs w:val="22"/>
                <w:lang w:eastAsia="fr-CH"/>
              </w:rPr>
              <w:tab/>
            </w:r>
            <w:r w:rsidR="003A349F" w:rsidRPr="00C24FCD">
              <w:rPr>
                <w:rStyle w:val="Hyperlink"/>
              </w:rPr>
              <w:t>Extent of the the SMAB</w:t>
            </w:r>
            <w:r w:rsidR="003A349F">
              <w:rPr>
                <w:webHidden/>
              </w:rPr>
              <w:tab/>
            </w:r>
            <w:r w:rsidR="003A349F">
              <w:rPr>
                <w:webHidden/>
              </w:rPr>
              <w:fldChar w:fldCharType="begin"/>
            </w:r>
            <w:r w:rsidR="003A349F">
              <w:rPr>
                <w:webHidden/>
              </w:rPr>
              <w:instrText xml:space="preserve"> PAGEREF _Toc53651755 \h </w:instrText>
            </w:r>
            <w:r w:rsidR="003A349F">
              <w:rPr>
                <w:webHidden/>
              </w:rPr>
            </w:r>
            <w:r w:rsidR="003A349F">
              <w:rPr>
                <w:webHidden/>
              </w:rPr>
              <w:fldChar w:fldCharType="separate"/>
            </w:r>
            <w:r w:rsidR="005C583E">
              <w:rPr>
                <w:webHidden/>
              </w:rPr>
              <w:t>4</w:t>
            </w:r>
            <w:r w:rsidR="003A349F">
              <w:rPr>
                <w:webHidden/>
              </w:rPr>
              <w:fldChar w:fldCharType="end"/>
            </w:r>
          </w:hyperlink>
        </w:p>
        <w:p w14:paraId="345B8CCE" w14:textId="389756DB" w:rsidR="003A349F" w:rsidRDefault="00BF79CE" w:rsidP="003A349F">
          <w:pPr>
            <w:pStyle w:val="TOC3"/>
            <w:rPr>
              <w:rFonts w:eastAsiaTheme="minorEastAsia" w:cstheme="minorBidi"/>
              <w:szCs w:val="22"/>
              <w:lang w:eastAsia="fr-CH"/>
            </w:rPr>
          </w:pPr>
          <w:hyperlink w:anchor="_Toc53651756" w:history="1">
            <w:r w:rsidR="003A349F" w:rsidRPr="00C24FCD">
              <w:rPr>
                <w:rStyle w:val="Hyperlink"/>
              </w:rPr>
              <w:t>3.2</w:t>
            </w:r>
            <w:r w:rsidR="003A349F">
              <w:rPr>
                <w:rFonts w:eastAsiaTheme="minorEastAsia" w:cstheme="minorBidi"/>
                <w:szCs w:val="22"/>
                <w:lang w:eastAsia="fr-CH"/>
              </w:rPr>
              <w:tab/>
            </w:r>
            <w:r w:rsidR="003A349F" w:rsidRPr="00C24FCD">
              <w:rPr>
                <w:rStyle w:val="Hyperlink"/>
              </w:rPr>
              <w:t>Major aquifer systems</w:t>
            </w:r>
            <w:r w:rsidR="003A349F">
              <w:rPr>
                <w:webHidden/>
              </w:rPr>
              <w:tab/>
            </w:r>
            <w:r w:rsidR="003A349F">
              <w:rPr>
                <w:webHidden/>
              </w:rPr>
              <w:fldChar w:fldCharType="begin"/>
            </w:r>
            <w:r w:rsidR="003A349F">
              <w:rPr>
                <w:webHidden/>
              </w:rPr>
              <w:instrText xml:space="preserve"> PAGEREF _Toc53651756 \h </w:instrText>
            </w:r>
            <w:r w:rsidR="003A349F">
              <w:rPr>
                <w:webHidden/>
              </w:rPr>
            </w:r>
            <w:r w:rsidR="003A349F">
              <w:rPr>
                <w:webHidden/>
              </w:rPr>
              <w:fldChar w:fldCharType="separate"/>
            </w:r>
            <w:r w:rsidR="005C583E">
              <w:rPr>
                <w:webHidden/>
              </w:rPr>
              <w:t>7</w:t>
            </w:r>
            <w:r w:rsidR="003A349F">
              <w:rPr>
                <w:webHidden/>
              </w:rPr>
              <w:fldChar w:fldCharType="end"/>
            </w:r>
          </w:hyperlink>
        </w:p>
        <w:p w14:paraId="37359B1F" w14:textId="1D81D88B" w:rsidR="003A349F" w:rsidRDefault="00BF79CE">
          <w:pPr>
            <w:pStyle w:val="TOC4"/>
            <w:tabs>
              <w:tab w:val="left" w:pos="1540"/>
              <w:tab w:val="right" w:leader="dot" w:pos="9630"/>
            </w:tabs>
            <w:rPr>
              <w:rFonts w:eastAsiaTheme="minorEastAsia" w:cstheme="minorBidi"/>
              <w:noProof/>
              <w:szCs w:val="22"/>
              <w:lang w:eastAsia="fr-CH"/>
            </w:rPr>
          </w:pPr>
          <w:hyperlink w:anchor="_Toc53651757" w:history="1">
            <w:r w:rsidR="003A349F" w:rsidRPr="00C24FCD">
              <w:rPr>
                <w:rStyle w:val="Hyperlink"/>
                <w:noProof/>
                <w:lang w:val="en-GB"/>
              </w:rPr>
              <w:t>3.2.1</w:t>
            </w:r>
            <w:r w:rsidR="003A349F">
              <w:rPr>
                <w:rFonts w:eastAsiaTheme="minorEastAsia" w:cstheme="minorBidi"/>
                <w:noProof/>
                <w:szCs w:val="22"/>
                <w:lang w:eastAsia="fr-CH"/>
              </w:rPr>
              <w:tab/>
            </w:r>
            <w:r w:rsidR="003A349F" w:rsidRPr="00C24FCD">
              <w:rPr>
                <w:rStyle w:val="Hyperlink"/>
                <w:noProof/>
              </w:rPr>
              <w:t>The superficial aquifer system</w:t>
            </w:r>
            <w:r w:rsidR="003A349F">
              <w:rPr>
                <w:noProof/>
                <w:webHidden/>
              </w:rPr>
              <w:tab/>
            </w:r>
            <w:r w:rsidR="003A349F">
              <w:rPr>
                <w:noProof/>
                <w:webHidden/>
              </w:rPr>
              <w:fldChar w:fldCharType="begin"/>
            </w:r>
            <w:r w:rsidR="003A349F">
              <w:rPr>
                <w:noProof/>
                <w:webHidden/>
              </w:rPr>
              <w:instrText xml:space="preserve"> PAGEREF _Toc53651757 \h </w:instrText>
            </w:r>
            <w:r w:rsidR="003A349F">
              <w:rPr>
                <w:noProof/>
                <w:webHidden/>
              </w:rPr>
            </w:r>
            <w:r w:rsidR="003A349F">
              <w:rPr>
                <w:noProof/>
                <w:webHidden/>
              </w:rPr>
              <w:fldChar w:fldCharType="separate"/>
            </w:r>
            <w:r w:rsidR="005C583E">
              <w:rPr>
                <w:noProof/>
                <w:webHidden/>
              </w:rPr>
              <w:t>7</w:t>
            </w:r>
            <w:r w:rsidR="003A349F">
              <w:rPr>
                <w:noProof/>
                <w:webHidden/>
              </w:rPr>
              <w:fldChar w:fldCharType="end"/>
            </w:r>
          </w:hyperlink>
        </w:p>
        <w:p w14:paraId="1E8CB766" w14:textId="59740E50" w:rsidR="003A349F" w:rsidRDefault="00BF79CE">
          <w:pPr>
            <w:pStyle w:val="TOC4"/>
            <w:tabs>
              <w:tab w:val="left" w:pos="1540"/>
              <w:tab w:val="right" w:leader="dot" w:pos="9630"/>
            </w:tabs>
            <w:rPr>
              <w:rFonts w:eastAsiaTheme="minorEastAsia" w:cstheme="minorBidi"/>
              <w:noProof/>
              <w:szCs w:val="22"/>
              <w:lang w:eastAsia="fr-CH"/>
            </w:rPr>
          </w:pPr>
          <w:hyperlink w:anchor="_Toc53651758" w:history="1">
            <w:r w:rsidR="003A349F" w:rsidRPr="00C24FCD">
              <w:rPr>
                <w:rStyle w:val="Hyperlink"/>
                <w:noProof/>
                <w:lang w:val="en-GB"/>
              </w:rPr>
              <w:t>3.2.2</w:t>
            </w:r>
            <w:r w:rsidR="003A349F">
              <w:rPr>
                <w:rFonts w:eastAsiaTheme="minorEastAsia" w:cstheme="minorBidi"/>
                <w:noProof/>
                <w:szCs w:val="22"/>
                <w:lang w:eastAsia="fr-CH"/>
              </w:rPr>
              <w:tab/>
            </w:r>
            <w:r w:rsidR="003A349F" w:rsidRPr="00C24FCD">
              <w:rPr>
                <w:rStyle w:val="Hyperlink"/>
                <w:noProof/>
                <w:lang w:val="en-GB"/>
              </w:rPr>
              <w:t>The semi-deep aquifer system</w:t>
            </w:r>
            <w:r w:rsidR="003A349F">
              <w:rPr>
                <w:noProof/>
                <w:webHidden/>
              </w:rPr>
              <w:tab/>
            </w:r>
            <w:r w:rsidR="003A349F">
              <w:rPr>
                <w:noProof/>
                <w:webHidden/>
              </w:rPr>
              <w:fldChar w:fldCharType="begin"/>
            </w:r>
            <w:r w:rsidR="003A349F">
              <w:rPr>
                <w:noProof/>
                <w:webHidden/>
              </w:rPr>
              <w:instrText xml:space="preserve"> PAGEREF _Toc53651758 \h </w:instrText>
            </w:r>
            <w:r w:rsidR="003A349F">
              <w:rPr>
                <w:noProof/>
                <w:webHidden/>
              </w:rPr>
            </w:r>
            <w:r w:rsidR="003A349F">
              <w:rPr>
                <w:noProof/>
                <w:webHidden/>
              </w:rPr>
              <w:fldChar w:fldCharType="separate"/>
            </w:r>
            <w:r w:rsidR="005C583E">
              <w:rPr>
                <w:noProof/>
                <w:webHidden/>
              </w:rPr>
              <w:t>7</w:t>
            </w:r>
            <w:r w:rsidR="003A349F">
              <w:rPr>
                <w:noProof/>
                <w:webHidden/>
              </w:rPr>
              <w:fldChar w:fldCharType="end"/>
            </w:r>
          </w:hyperlink>
        </w:p>
        <w:p w14:paraId="1764944E" w14:textId="51A91DD2" w:rsidR="003A349F" w:rsidRDefault="00BF79CE">
          <w:pPr>
            <w:pStyle w:val="TOC4"/>
            <w:tabs>
              <w:tab w:val="left" w:pos="1540"/>
              <w:tab w:val="right" w:leader="dot" w:pos="9630"/>
            </w:tabs>
            <w:rPr>
              <w:rFonts w:eastAsiaTheme="minorEastAsia" w:cstheme="minorBidi"/>
              <w:noProof/>
              <w:szCs w:val="22"/>
              <w:lang w:eastAsia="fr-CH"/>
            </w:rPr>
          </w:pPr>
          <w:hyperlink w:anchor="_Toc53651759" w:history="1">
            <w:r w:rsidR="003A349F" w:rsidRPr="00C24FCD">
              <w:rPr>
                <w:rStyle w:val="Hyperlink"/>
                <w:noProof/>
                <w:lang w:val="en-GB"/>
              </w:rPr>
              <w:t>3.2.3</w:t>
            </w:r>
            <w:r w:rsidR="003A349F">
              <w:rPr>
                <w:rFonts w:eastAsiaTheme="minorEastAsia" w:cstheme="minorBidi"/>
                <w:noProof/>
                <w:szCs w:val="22"/>
                <w:lang w:eastAsia="fr-CH"/>
              </w:rPr>
              <w:tab/>
            </w:r>
            <w:r w:rsidR="003A349F" w:rsidRPr="00C24FCD">
              <w:rPr>
                <w:rStyle w:val="Hyperlink"/>
                <w:noProof/>
              </w:rPr>
              <w:t>The deep aquifer system</w:t>
            </w:r>
            <w:r w:rsidR="003A349F">
              <w:rPr>
                <w:noProof/>
                <w:webHidden/>
              </w:rPr>
              <w:tab/>
            </w:r>
            <w:r w:rsidR="003A349F">
              <w:rPr>
                <w:noProof/>
                <w:webHidden/>
              </w:rPr>
              <w:fldChar w:fldCharType="begin"/>
            </w:r>
            <w:r w:rsidR="003A349F">
              <w:rPr>
                <w:noProof/>
                <w:webHidden/>
              </w:rPr>
              <w:instrText xml:space="preserve"> PAGEREF _Toc53651759 \h </w:instrText>
            </w:r>
            <w:r w:rsidR="003A349F">
              <w:rPr>
                <w:noProof/>
                <w:webHidden/>
              </w:rPr>
            </w:r>
            <w:r w:rsidR="003A349F">
              <w:rPr>
                <w:noProof/>
                <w:webHidden/>
              </w:rPr>
              <w:fldChar w:fldCharType="separate"/>
            </w:r>
            <w:r w:rsidR="005C583E">
              <w:rPr>
                <w:noProof/>
                <w:webHidden/>
              </w:rPr>
              <w:t>7</w:t>
            </w:r>
            <w:r w:rsidR="003A349F">
              <w:rPr>
                <w:noProof/>
                <w:webHidden/>
              </w:rPr>
              <w:fldChar w:fldCharType="end"/>
            </w:r>
          </w:hyperlink>
        </w:p>
        <w:p w14:paraId="089A3C6C" w14:textId="5BC310D8" w:rsidR="003A349F" w:rsidRDefault="00BF79CE" w:rsidP="003A349F">
          <w:pPr>
            <w:pStyle w:val="TOC3"/>
            <w:rPr>
              <w:rFonts w:eastAsiaTheme="minorEastAsia" w:cstheme="minorBidi"/>
              <w:szCs w:val="22"/>
              <w:lang w:eastAsia="fr-CH"/>
            </w:rPr>
          </w:pPr>
          <w:hyperlink w:anchor="_Toc53651760" w:history="1">
            <w:r w:rsidR="003A349F" w:rsidRPr="00C24FCD">
              <w:rPr>
                <w:rStyle w:val="Hyperlink"/>
              </w:rPr>
              <w:t>3.3</w:t>
            </w:r>
            <w:r w:rsidR="003A349F">
              <w:rPr>
                <w:rFonts w:eastAsiaTheme="minorEastAsia" w:cstheme="minorBidi"/>
                <w:szCs w:val="22"/>
                <w:lang w:eastAsia="fr-CH"/>
              </w:rPr>
              <w:tab/>
            </w:r>
            <w:r w:rsidR="003A349F" w:rsidRPr="00C24FCD">
              <w:rPr>
                <w:rStyle w:val="Hyperlink"/>
              </w:rPr>
              <w:t>Potential and recharge of the SAMB aquifers</w:t>
            </w:r>
            <w:r w:rsidR="003A349F">
              <w:rPr>
                <w:webHidden/>
              </w:rPr>
              <w:tab/>
            </w:r>
            <w:r w:rsidR="003A349F">
              <w:rPr>
                <w:webHidden/>
              </w:rPr>
              <w:fldChar w:fldCharType="begin"/>
            </w:r>
            <w:r w:rsidR="003A349F">
              <w:rPr>
                <w:webHidden/>
              </w:rPr>
              <w:instrText xml:space="preserve"> PAGEREF _Toc53651760 \h </w:instrText>
            </w:r>
            <w:r w:rsidR="003A349F">
              <w:rPr>
                <w:webHidden/>
              </w:rPr>
            </w:r>
            <w:r w:rsidR="003A349F">
              <w:rPr>
                <w:webHidden/>
              </w:rPr>
              <w:fldChar w:fldCharType="separate"/>
            </w:r>
            <w:r w:rsidR="005C583E">
              <w:rPr>
                <w:webHidden/>
              </w:rPr>
              <w:t>8</w:t>
            </w:r>
            <w:r w:rsidR="003A349F">
              <w:rPr>
                <w:webHidden/>
              </w:rPr>
              <w:fldChar w:fldCharType="end"/>
            </w:r>
          </w:hyperlink>
        </w:p>
        <w:p w14:paraId="200CA4AC" w14:textId="15BBC67C" w:rsidR="003A349F" w:rsidRDefault="00BF79CE" w:rsidP="003A349F">
          <w:pPr>
            <w:pStyle w:val="TOC3"/>
            <w:rPr>
              <w:rFonts w:eastAsiaTheme="minorEastAsia" w:cstheme="minorBidi"/>
              <w:szCs w:val="22"/>
              <w:lang w:eastAsia="fr-CH"/>
            </w:rPr>
          </w:pPr>
          <w:hyperlink w:anchor="_Toc53651761" w:history="1">
            <w:r w:rsidR="003A349F" w:rsidRPr="00C24FCD">
              <w:rPr>
                <w:rStyle w:val="Hyperlink"/>
              </w:rPr>
              <w:t>3.4</w:t>
            </w:r>
            <w:r w:rsidR="003A349F">
              <w:rPr>
                <w:rFonts w:eastAsiaTheme="minorEastAsia" w:cstheme="minorBidi"/>
                <w:szCs w:val="22"/>
                <w:lang w:eastAsia="fr-CH"/>
              </w:rPr>
              <w:tab/>
            </w:r>
            <w:r w:rsidR="003A349F" w:rsidRPr="00C24FCD">
              <w:rPr>
                <w:rStyle w:val="Hyperlink"/>
              </w:rPr>
              <w:t>Interaction with surface water under TBO jurisdiction</w:t>
            </w:r>
            <w:r w:rsidR="003A349F">
              <w:rPr>
                <w:webHidden/>
              </w:rPr>
              <w:tab/>
            </w:r>
            <w:r w:rsidR="003A349F">
              <w:rPr>
                <w:webHidden/>
              </w:rPr>
              <w:fldChar w:fldCharType="begin"/>
            </w:r>
            <w:r w:rsidR="003A349F">
              <w:rPr>
                <w:webHidden/>
              </w:rPr>
              <w:instrText xml:space="preserve"> PAGEREF _Toc53651761 \h </w:instrText>
            </w:r>
            <w:r w:rsidR="003A349F">
              <w:rPr>
                <w:webHidden/>
              </w:rPr>
            </w:r>
            <w:r w:rsidR="003A349F">
              <w:rPr>
                <w:webHidden/>
              </w:rPr>
              <w:fldChar w:fldCharType="separate"/>
            </w:r>
            <w:r w:rsidR="005C583E">
              <w:rPr>
                <w:webHidden/>
              </w:rPr>
              <w:t>9</w:t>
            </w:r>
            <w:r w:rsidR="003A349F">
              <w:rPr>
                <w:webHidden/>
              </w:rPr>
              <w:fldChar w:fldCharType="end"/>
            </w:r>
          </w:hyperlink>
        </w:p>
        <w:p w14:paraId="20161F1F" w14:textId="00830FEE" w:rsidR="003A349F" w:rsidRDefault="00BF79CE">
          <w:pPr>
            <w:pStyle w:val="TOC2"/>
            <w:tabs>
              <w:tab w:val="left" w:pos="660"/>
              <w:tab w:val="right" w:leader="dot" w:pos="9630"/>
            </w:tabs>
            <w:rPr>
              <w:rFonts w:eastAsiaTheme="minorEastAsia" w:cstheme="minorBidi"/>
              <w:noProof/>
              <w:szCs w:val="22"/>
              <w:lang w:eastAsia="fr-CH"/>
            </w:rPr>
          </w:pPr>
          <w:hyperlink w:anchor="_Toc53651762" w:history="1">
            <w:r w:rsidR="003A349F" w:rsidRPr="00C24FCD">
              <w:rPr>
                <w:rStyle w:val="Hyperlink"/>
                <w:noProof/>
                <w:lang w:val="en-GB"/>
              </w:rPr>
              <w:t>4</w:t>
            </w:r>
            <w:r w:rsidR="003A349F">
              <w:rPr>
                <w:rFonts w:eastAsiaTheme="minorEastAsia" w:cstheme="minorBidi"/>
                <w:noProof/>
                <w:szCs w:val="22"/>
                <w:lang w:eastAsia="fr-CH"/>
              </w:rPr>
              <w:tab/>
            </w:r>
            <w:r w:rsidR="003A349F" w:rsidRPr="00C24FCD">
              <w:rPr>
                <w:rStyle w:val="Hyperlink"/>
                <w:noProof/>
                <w:lang w:val="en-GB"/>
              </w:rPr>
              <w:t>Issues and Challenges in Managing SMAB Aquifers</w:t>
            </w:r>
            <w:r w:rsidR="003A349F">
              <w:rPr>
                <w:noProof/>
                <w:webHidden/>
              </w:rPr>
              <w:tab/>
            </w:r>
            <w:r w:rsidR="003A349F">
              <w:rPr>
                <w:noProof/>
                <w:webHidden/>
              </w:rPr>
              <w:fldChar w:fldCharType="begin"/>
            </w:r>
            <w:r w:rsidR="003A349F">
              <w:rPr>
                <w:noProof/>
                <w:webHidden/>
              </w:rPr>
              <w:instrText xml:space="preserve"> PAGEREF _Toc53651762 \h </w:instrText>
            </w:r>
            <w:r w:rsidR="003A349F">
              <w:rPr>
                <w:noProof/>
                <w:webHidden/>
              </w:rPr>
            </w:r>
            <w:r w:rsidR="003A349F">
              <w:rPr>
                <w:noProof/>
                <w:webHidden/>
              </w:rPr>
              <w:fldChar w:fldCharType="separate"/>
            </w:r>
            <w:r w:rsidR="005C583E">
              <w:rPr>
                <w:noProof/>
                <w:webHidden/>
              </w:rPr>
              <w:t>10</w:t>
            </w:r>
            <w:r w:rsidR="003A349F">
              <w:rPr>
                <w:noProof/>
                <w:webHidden/>
              </w:rPr>
              <w:fldChar w:fldCharType="end"/>
            </w:r>
          </w:hyperlink>
        </w:p>
        <w:p w14:paraId="0BB4AA6D" w14:textId="5DEB5CF1" w:rsidR="003A349F" w:rsidRDefault="00BF79CE" w:rsidP="003A349F">
          <w:pPr>
            <w:pStyle w:val="TOC3"/>
            <w:rPr>
              <w:rFonts w:eastAsiaTheme="minorEastAsia" w:cstheme="minorBidi"/>
              <w:szCs w:val="22"/>
              <w:lang w:eastAsia="fr-CH"/>
            </w:rPr>
          </w:pPr>
          <w:hyperlink w:anchor="_Toc53651763" w:history="1">
            <w:r w:rsidR="003A349F" w:rsidRPr="00C24FCD">
              <w:rPr>
                <w:rStyle w:val="Hyperlink"/>
              </w:rPr>
              <w:t>4.1</w:t>
            </w:r>
            <w:r w:rsidR="003A349F">
              <w:rPr>
                <w:rFonts w:eastAsiaTheme="minorEastAsia" w:cstheme="minorBidi"/>
                <w:szCs w:val="22"/>
                <w:lang w:eastAsia="fr-CH"/>
              </w:rPr>
              <w:tab/>
            </w:r>
            <w:r w:rsidR="003A349F" w:rsidRPr="00C24FCD">
              <w:rPr>
                <w:rStyle w:val="Hyperlink"/>
              </w:rPr>
              <w:t>Water Resources Availability in Quantity and Quality</w:t>
            </w:r>
            <w:r w:rsidR="003A349F">
              <w:rPr>
                <w:webHidden/>
              </w:rPr>
              <w:tab/>
            </w:r>
            <w:r w:rsidR="003A349F">
              <w:rPr>
                <w:webHidden/>
              </w:rPr>
              <w:fldChar w:fldCharType="begin"/>
            </w:r>
            <w:r w:rsidR="003A349F">
              <w:rPr>
                <w:webHidden/>
              </w:rPr>
              <w:instrText xml:space="preserve"> PAGEREF _Toc53651763 \h </w:instrText>
            </w:r>
            <w:r w:rsidR="003A349F">
              <w:rPr>
                <w:webHidden/>
              </w:rPr>
            </w:r>
            <w:r w:rsidR="003A349F">
              <w:rPr>
                <w:webHidden/>
              </w:rPr>
              <w:fldChar w:fldCharType="separate"/>
            </w:r>
            <w:r w:rsidR="005C583E">
              <w:rPr>
                <w:webHidden/>
              </w:rPr>
              <w:t>10</w:t>
            </w:r>
            <w:r w:rsidR="003A349F">
              <w:rPr>
                <w:webHidden/>
              </w:rPr>
              <w:fldChar w:fldCharType="end"/>
            </w:r>
          </w:hyperlink>
        </w:p>
        <w:p w14:paraId="2CFAD9FC" w14:textId="5A23BC36" w:rsidR="003A349F" w:rsidRDefault="00BF79CE">
          <w:pPr>
            <w:pStyle w:val="TOC4"/>
            <w:tabs>
              <w:tab w:val="left" w:pos="1540"/>
              <w:tab w:val="right" w:leader="dot" w:pos="9630"/>
            </w:tabs>
            <w:rPr>
              <w:rFonts w:eastAsiaTheme="minorEastAsia" w:cstheme="minorBidi"/>
              <w:noProof/>
              <w:szCs w:val="22"/>
              <w:lang w:eastAsia="fr-CH"/>
            </w:rPr>
          </w:pPr>
          <w:hyperlink w:anchor="_Toc53651764" w:history="1">
            <w:r w:rsidR="003A349F" w:rsidRPr="00C24FCD">
              <w:rPr>
                <w:rStyle w:val="Hyperlink"/>
                <w:noProof/>
                <w:lang w:val="en-GB"/>
              </w:rPr>
              <w:t>4.1.1</w:t>
            </w:r>
            <w:r w:rsidR="003A349F">
              <w:rPr>
                <w:rFonts w:eastAsiaTheme="minorEastAsia" w:cstheme="minorBidi"/>
                <w:noProof/>
                <w:szCs w:val="22"/>
                <w:lang w:eastAsia="fr-CH"/>
              </w:rPr>
              <w:tab/>
            </w:r>
            <w:r w:rsidR="003A349F" w:rsidRPr="00C24FCD">
              <w:rPr>
                <w:rStyle w:val="Hyperlink"/>
                <w:noProof/>
                <w:lang w:val="en-GB"/>
              </w:rPr>
              <w:t>Water availability, a major challenge</w:t>
            </w:r>
            <w:r w:rsidR="003A349F">
              <w:rPr>
                <w:noProof/>
                <w:webHidden/>
              </w:rPr>
              <w:tab/>
            </w:r>
            <w:r w:rsidR="003A349F">
              <w:rPr>
                <w:noProof/>
                <w:webHidden/>
              </w:rPr>
              <w:fldChar w:fldCharType="begin"/>
            </w:r>
            <w:r w:rsidR="003A349F">
              <w:rPr>
                <w:noProof/>
                <w:webHidden/>
              </w:rPr>
              <w:instrText xml:space="preserve"> PAGEREF _Toc53651764 \h </w:instrText>
            </w:r>
            <w:r w:rsidR="003A349F">
              <w:rPr>
                <w:noProof/>
                <w:webHidden/>
              </w:rPr>
            </w:r>
            <w:r w:rsidR="003A349F">
              <w:rPr>
                <w:noProof/>
                <w:webHidden/>
              </w:rPr>
              <w:fldChar w:fldCharType="separate"/>
            </w:r>
            <w:r w:rsidR="005C583E">
              <w:rPr>
                <w:noProof/>
                <w:webHidden/>
              </w:rPr>
              <w:t>10</w:t>
            </w:r>
            <w:r w:rsidR="003A349F">
              <w:rPr>
                <w:noProof/>
                <w:webHidden/>
              </w:rPr>
              <w:fldChar w:fldCharType="end"/>
            </w:r>
          </w:hyperlink>
        </w:p>
        <w:p w14:paraId="2E896FD7" w14:textId="2D984E14" w:rsidR="003A349F" w:rsidRDefault="00BF79CE">
          <w:pPr>
            <w:pStyle w:val="TOC4"/>
            <w:tabs>
              <w:tab w:val="left" w:pos="1540"/>
              <w:tab w:val="right" w:leader="dot" w:pos="9630"/>
            </w:tabs>
            <w:rPr>
              <w:rFonts w:eastAsiaTheme="minorEastAsia" w:cstheme="minorBidi"/>
              <w:noProof/>
              <w:szCs w:val="22"/>
              <w:lang w:eastAsia="fr-CH"/>
            </w:rPr>
          </w:pPr>
          <w:hyperlink w:anchor="_Toc53651765" w:history="1">
            <w:r w:rsidR="003A349F" w:rsidRPr="00C24FCD">
              <w:rPr>
                <w:rStyle w:val="Hyperlink"/>
                <w:noProof/>
                <w:lang w:val="en-GB"/>
              </w:rPr>
              <w:t>4.1.2</w:t>
            </w:r>
            <w:r w:rsidR="003A349F">
              <w:rPr>
                <w:rFonts w:eastAsiaTheme="minorEastAsia" w:cstheme="minorBidi"/>
                <w:noProof/>
                <w:szCs w:val="22"/>
                <w:lang w:eastAsia="fr-CH"/>
              </w:rPr>
              <w:tab/>
            </w:r>
            <w:r w:rsidR="003A349F" w:rsidRPr="00C24FCD">
              <w:rPr>
                <w:rStyle w:val="Hyperlink"/>
                <w:noProof/>
                <w:lang w:val="en-GB"/>
              </w:rPr>
              <w:t>Improving the knowledge base and water resource monitoring</w:t>
            </w:r>
            <w:r w:rsidR="003A349F">
              <w:rPr>
                <w:noProof/>
                <w:webHidden/>
              </w:rPr>
              <w:tab/>
            </w:r>
            <w:r w:rsidR="003A349F">
              <w:rPr>
                <w:noProof/>
                <w:webHidden/>
              </w:rPr>
              <w:fldChar w:fldCharType="begin"/>
            </w:r>
            <w:r w:rsidR="003A349F">
              <w:rPr>
                <w:noProof/>
                <w:webHidden/>
              </w:rPr>
              <w:instrText xml:space="preserve"> PAGEREF _Toc53651765 \h </w:instrText>
            </w:r>
            <w:r w:rsidR="003A349F">
              <w:rPr>
                <w:noProof/>
                <w:webHidden/>
              </w:rPr>
            </w:r>
            <w:r w:rsidR="003A349F">
              <w:rPr>
                <w:noProof/>
                <w:webHidden/>
              </w:rPr>
              <w:fldChar w:fldCharType="separate"/>
            </w:r>
            <w:r w:rsidR="005C583E">
              <w:rPr>
                <w:noProof/>
                <w:webHidden/>
              </w:rPr>
              <w:t>10</w:t>
            </w:r>
            <w:r w:rsidR="003A349F">
              <w:rPr>
                <w:noProof/>
                <w:webHidden/>
              </w:rPr>
              <w:fldChar w:fldCharType="end"/>
            </w:r>
          </w:hyperlink>
        </w:p>
        <w:p w14:paraId="69945608" w14:textId="29027372" w:rsidR="003A349F" w:rsidRDefault="00BF79CE">
          <w:pPr>
            <w:pStyle w:val="TOC4"/>
            <w:tabs>
              <w:tab w:val="left" w:pos="1540"/>
              <w:tab w:val="right" w:leader="dot" w:pos="9630"/>
            </w:tabs>
            <w:rPr>
              <w:rFonts w:eastAsiaTheme="minorEastAsia" w:cstheme="minorBidi"/>
              <w:noProof/>
              <w:szCs w:val="22"/>
              <w:lang w:eastAsia="fr-CH"/>
            </w:rPr>
          </w:pPr>
          <w:hyperlink w:anchor="_Toc53651766" w:history="1">
            <w:r w:rsidR="003A349F" w:rsidRPr="00C24FCD">
              <w:rPr>
                <w:rStyle w:val="Hyperlink"/>
                <w:noProof/>
                <w:lang w:val="en-GB"/>
              </w:rPr>
              <w:t>4.1.3</w:t>
            </w:r>
            <w:r w:rsidR="003A349F">
              <w:rPr>
                <w:rFonts w:eastAsiaTheme="minorEastAsia" w:cstheme="minorBidi"/>
                <w:noProof/>
                <w:szCs w:val="22"/>
                <w:lang w:eastAsia="fr-CH"/>
              </w:rPr>
              <w:tab/>
            </w:r>
            <w:r w:rsidR="003A349F" w:rsidRPr="00C24FCD">
              <w:rPr>
                <w:rStyle w:val="Hyperlink"/>
                <w:noProof/>
                <w:lang w:val="en-GB"/>
              </w:rPr>
              <w:t>Water quality</w:t>
            </w:r>
            <w:r w:rsidR="003A349F">
              <w:rPr>
                <w:noProof/>
                <w:webHidden/>
              </w:rPr>
              <w:tab/>
            </w:r>
            <w:r w:rsidR="003A349F">
              <w:rPr>
                <w:noProof/>
                <w:webHidden/>
              </w:rPr>
              <w:fldChar w:fldCharType="begin"/>
            </w:r>
            <w:r w:rsidR="003A349F">
              <w:rPr>
                <w:noProof/>
                <w:webHidden/>
              </w:rPr>
              <w:instrText xml:space="preserve"> PAGEREF _Toc53651766 \h </w:instrText>
            </w:r>
            <w:r w:rsidR="003A349F">
              <w:rPr>
                <w:noProof/>
                <w:webHidden/>
              </w:rPr>
            </w:r>
            <w:r w:rsidR="003A349F">
              <w:rPr>
                <w:noProof/>
                <w:webHidden/>
              </w:rPr>
              <w:fldChar w:fldCharType="separate"/>
            </w:r>
            <w:r w:rsidR="005C583E">
              <w:rPr>
                <w:noProof/>
                <w:webHidden/>
              </w:rPr>
              <w:t>11</w:t>
            </w:r>
            <w:r w:rsidR="003A349F">
              <w:rPr>
                <w:noProof/>
                <w:webHidden/>
              </w:rPr>
              <w:fldChar w:fldCharType="end"/>
            </w:r>
          </w:hyperlink>
        </w:p>
        <w:p w14:paraId="7AB56352" w14:textId="498636BB" w:rsidR="003A349F" w:rsidRDefault="00BF79CE" w:rsidP="003A349F">
          <w:pPr>
            <w:pStyle w:val="TOC3"/>
            <w:rPr>
              <w:rFonts w:eastAsiaTheme="minorEastAsia" w:cstheme="minorBidi"/>
              <w:szCs w:val="22"/>
              <w:lang w:eastAsia="fr-CH"/>
            </w:rPr>
          </w:pPr>
          <w:hyperlink w:anchor="_Toc53651767" w:history="1">
            <w:r w:rsidR="003A349F" w:rsidRPr="00C24FCD">
              <w:rPr>
                <w:rStyle w:val="Hyperlink"/>
              </w:rPr>
              <w:t>4.2</w:t>
            </w:r>
            <w:r w:rsidR="003A349F">
              <w:rPr>
                <w:rFonts w:eastAsiaTheme="minorEastAsia" w:cstheme="minorBidi"/>
                <w:szCs w:val="22"/>
                <w:lang w:eastAsia="fr-CH"/>
              </w:rPr>
              <w:tab/>
            </w:r>
            <w:r w:rsidR="003A349F" w:rsidRPr="00C24FCD">
              <w:rPr>
                <w:rStyle w:val="Hyperlink"/>
              </w:rPr>
              <w:t>Governance and Sustainable Management Financing</w:t>
            </w:r>
            <w:r w:rsidR="003A349F">
              <w:rPr>
                <w:webHidden/>
              </w:rPr>
              <w:tab/>
            </w:r>
            <w:r w:rsidR="003A349F">
              <w:rPr>
                <w:webHidden/>
              </w:rPr>
              <w:fldChar w:fldCharType="begin"/>
            </w:r>
            <w:r w:rsidR="003A349F">
              <w:rPr>
                <w:webHidden/>
              </w:rPr>
              <w:instrText xml:space="preserve"> PAGEREF _Toc53651767 \h </w:instrText>
            </w:r>
            <w:r w:rsidR="003A349F">
              <w:rPr>
                <w:webHidden/>
              </w:rPr>
            </w:r>
            <w:r w:rsidR="003A349F">
              <w:rPr>
                <w:webHidden/>
              </w:rPr>
              <w:fldChar w:fldCharType="separate"/>
            </w:r>
            <w:r w:rsidR="005C583E">
              <w:rPr>
                <w:webHidden/>
              </w:rPr>
              <w:t>11</w:t>
            </w:r>
            <w:r w:rsidR="003A349F">
              <w:rPr>
                <w:webHidden/>
              </w:rPr>
              <w:fldChar w:fldCharType="end"/>
            </w:r>
          </w:hyperlink>
        </w:p>
        <w:p w14:paraId="1BB028A4" w14:textId="3784D16E" w:rsidR="003A349F" w:rsidRDefault="00BF79CE">
          <w:pPr>
            <w:pStyle w:val="TOC4"/>
            <w:tabs>
              <w:tab w:val="left" w:pos="1540"/>
              <w:tab w:val="right" w:leader="dot" w:pos="9630"/>
            </w:tabs>
            <w:rPr>
              <w:rFonts w:eastAsiaTheme="minorEastAsia" w:cstheme="minorBidi"/>
              <w:noProof/>
              <w:szCs w:val="22"/>
              <w:lang w:eastAsia="fr-CH"/>
            </w:rPr>
          </w:pPr>
          <w:hyperlink w:anchor="_Toc53651768" w:history="1">
            <w:r w:rsidR="003A349F" w:rsidRPr="00C24FCD">
              <w:rPr>
                <w:rStyle w:val="Hyperlink"/>
                <w:noProof/>
                <w:lang w:val="en-GB"/>
              </w:rPr>
              <w:t>4.2.1</w:t>
            </w:r>
            <w:r w:rsidR="003A349F">
              <w:rPr>
                <w:rFonts w:eastAsiaTheme="minorEastAsia" w:cstheme="minorBidi"/>
                <w:noProof/>
                <w:szCs w:val="22"/>
                <w:lang w:eastAsia="fr-CH"/>
              </w:rPr>
              <w:tab/>
            </w:r>
            <w:r w:rsidR="003A349F" w:rsidRPr="00C24FCD">
              <w:rPr>
                <w:rStyle w:val="Hyperlink"/>
                <w:noProof/>
                <w:lang w:val="en-GB"/>
              </w:rPr>
              <w:t>Concerted management of transboundary water resources</w:t>
            </w:r>
            <w:r w:rsidR="003A349F">
              <w:rPr>
                <w:noProof/>
                <w:webHidden/>
              </w:rPr>
              <w:tab/>
            </w:r>
            <w:r w:rsidR="003A349F">
              <w:rPr>
                <w:noProof/>
                <w:webHidden/>
              </w:rPr>
              <w:fldChar w:fldCharType="begin"/>
            </w:r>
            <w:r w:rsidR="003A349F">
              <w:rPr>
                <w:noProof/>
                <w:webHidden/>
              </w:rPr>
              <w:instrText xml:space="preserve"> PAGEREF _Toc53651768 \h </w:instrText>
            </w:r>
            <w:r w:rsidR="003A349F">
              <w:rPr>
                <w:noProof/>
                <w:webHidden/>
              </w:rPr>
            </w:r>
            <w:r w:rsidR="003A349F">
              <w:rPr>
                <w:noProof/>
                <w:webHidden/>
              </w:rPr>
              <w:fldChar w:fldCharType="separate"/>
            </w:r>
            <w:r w:rsidR="005C583E">
              <w:rPr>
                <w:noProof/>
                <w:webHidden/>
              </w:rPr>
              <w:t>11</w:t>
            </w:r>
            <w:r w:rsidR="003A349F">
              <w:rPr>
                <w:noProof/>
                <w:webHidden/>
              </w:rPr>
              <w:fldChar w:fldCharType="end"/>
            </w:r>
          </w:hyperlink>
        </w:p>
        <w:p w14:paraId="5013EC20" w14:textId="72A9EA54" w:rsidR="003A349F" w:rsidRDefault="00BF79CE">
          <w:pPr>
            <w:pStyle w:val="TOC4"/>
            <w:tabs>
              <w:tab w:val="left" w:pos="1540"/>
              <w:tab w:val="right" w:leader="dot" w:pos="9630"/>
            </w:tabs>
            <w:rPr>
              <w:rFonts w:eastAsiaTheme="minorEastAsia" w:cstheme="minorBidi"/>
              <w:noProof/>
              <w:szCs w:val="22"/>
              <w:lang w:eastAsia="fr-CH"/>
            </w:rPr>
          </w:pPr>
          <w:hyperlink w:anchor="_Toc53651769" w:history="1">
            <w:r w:rsidR="003A349F" w:rsidRPr="00C24FCD">
              <w:rPr>
                <w:rStyle w:val="Hyperlink"/>
                <w:noProof/>
                <w:lang w:val="en-GB"/>
              </w:rPr>
              <w:t>4.2.2</w:t>
            </w:r>
            <w:r w:rsidR="003A349F">
              <w:rPr>
                <w:rFonts w:eastAsiaTheme="minorEastAsia" w:cstheme="minorBidi"/>
                <w:noProof/>
                <w:szCs w:val="22"/>
                <w:lang w:eastAsia="fr-CH"/>
              </w:rPr>
              <w:tab/>
            </w:r>
            <w:r w:rsidR="003A349F" w:rsidRPr="00C24FCD">
              <w:rPr>
                <w:rStyle w:val="Hyperlink"/>
                <w:noProof/>
                <w:lang w:val="en-GB"/>
              </w:rPr>
              <w:t>Sustainable management financing</w:t>
            </w:r>
            <w:r w:rsidR="003A349F">
              <w:rPr>
                <w:noProof/>
                <w:webHidden/>
              </w:rPr>
              <w:tab/>
            </w:r>
            <w:r w:rsidR="003A349F">
              <w:rPr>
                <w:noProof/>
                <w:webHidden/>
              </w:rPr>
              <w:fldChar w:fldCharType="begin"/>
            </w:r>
            <w:r w:rsidR="003A349F">
              <w:rPr>
                <w:noProof/>
                <w:webHidden/>
              </w:rPr>
              <w:instrText xml:space="preserve"> PAGEREF _Toc53651769 \h </w:instrText>
            </w:r>
            <w:r w:rsidR="003A349F">
              <w:rPr>
                <w:noProof/>
                <w:webHidden/>
              </w:rPr>
            </w:r>
            <w:r w:rsidR="003A349F">
              <w:rPr>
                <w:noProof/>
                <w:webHidden/>
              </w:rPr>
              <w:fldChar w:fldCharType="separate"/>
            </w:r>
            <w:r w:rsidR="005C583E">
              <w:rPr>
                <w:noProof/>
                <w:webHidden/>
              </w:rPr>
              <w:t>12</w:t>
            </w:r>
            <w:r w:rsidR="003A349F">
              <w:rPr>
                <w:noProof/>
                <w:webHidden/>
              </w:rPr>
              <w:fldChar w:fldCharType="end"/>
            </w:r>
          </w:hyperlink>
        </w:p>
        <w:p w14:paraId="27566B95" w14:textId="54E1B74F" w:rsidR="003A349F" w:rsidRDefault="00BF79CE" w:rsidP="003A349F">
          <w:pPr>
            <w:pStyle w:val="TOC3"/>
            <w:rPr>
              <w:rFonts w:eastAsiaTheme="minorEastAsia" w:cstheme="minorBidi"/>
              <w:szCs w:val="22"/>
              <w:lang w:eastAsia="fr-CH"/>
            </w:rPr>
          </w:pPr>
          <w:hyperlink w:anchor="_Toc53651770" w:history="1">
            <w:r w:rsidR="003A349F" w:rsidRPr="00C24FCD">
              <w:rPr>
                <w:rStyle w:val="Hyperlink"/>
              </w:rPr>
              <w:t>4.3</w:t>
            </w:r>
            <w:r w:rsidR="003A349F">
              <w:rPr>
                <w:rFonts w:eastAsiaTheme="minorEastAsia" w:cstheme="minorBidi"/>
                <w:szCs w:val="22"/>
                <w:lang w:eastAsia="fr-CH"/>
              </w:rPr>
              <w:tab/>
            </w:r>
            <w:r w:rsidR="003A349F" w:rsidRPr="00C24FCD">
              <w:rPr>
                <w:rStyle w:val="Hyperlink"/>
              </w:rPr>
              <w:t>Cooperation, Peace and Security in SMAB Countries</w:t>
            </w:r>
            <w:r w:rsidR="003A349F">
              <w:rPr>
                <w:webHidden/>
              </w:rPr>
              <w:tab/>
            </w:r>
            <w:r w:rsidR="003A349F">
              <w:rPr>
                <w:webHidden/>
              </w:rPr>
              <w:fldChar w:fldCharType="begin"/>
            </w:r>
            <w:r w:rsidR="003A349F">
              <w:rPr>
                <w:webHidden/>
              </w:rPr>
              <w:instrText xml:space="preserve"> PAGEREF _Toc53651770 \h </w:instrText>
            </w:r>
            <w:r w:rsidR="003A349F">
              <w:rPr>
                <w:webHidden/>
              </w:rPr>
            </w:r>
            <w:r w:rsidR="003A349F">
              <w:rPr>
                <w:webHidden/>
              </w:rPr>
              <w:fldChar w:fldCharType="separate"/>
            </w:r>
            <w:r w:rsidR="005C583E">
              <w:rPr>
                <w:webHidden/>
              </w:rPr>
              <w:t>12</w:t>
            </w:r>
            <w:r w:rsidR="003A349F">
              <w:rPr>
                <w:webHidden/>
              </w:rPr>
              <w:fldChar w:fldCharType="end"/>
            </w:r>
          </w:hyperlink>
        </w:p>
        <w:p w14:paraId="3969F272" w14:textId="06360A89" w:rsidR="003A349F" w:rsidRDefault="00BF79CE">
          <w:pPr>
            <w:pStyle w:val="TOC2"/>
            <w:tabs>
              <w:tab w:val="left" w:pos="660"/>
              <w:tab w:val="right" w:leader="dot" w:pos="9630"/>
            </w:tabs>
            <w:rPr>
              <w:rFonts w:eastAsiaTheme="minorEastAsia" w:cstheme="minorBidi"/>
              <w:noProof/>
              <w:szCs w:val="22"/>
              <w:lang w:eastAsia="fr-CH"/>
            </w:rPr>
          </w:pPr>
          <w:hyperlink w:anchor="_Toc53651771" w:history="1">
            <w:r w:rsidR="003A349F" w:rsidRPr="00C24FCD">
              <w:rPr>
                <w:rStyle w:val="Hyperlink"/>
                <w:noProof/>
                <w:lang w:val="en-GB"/>
              </w:rPr>
              <w:t>5</w:t>
            </w:r>
            <w:r w:rsidR="003A349F">
              <w:rPr>
                <w:rFonts w:eastAsiaTheme="minorEastAsia" w:cstheme="minorBidi"/>
                <w:noProof/>
                <w:szCs w:val="22"/>
                <w:lang w:eastAsia="fr-CH"/>
              </w:rPr>
              <w:tab/>
            </w:r>
            <w:r w:rsidR="003A349F" w:rsidRPr="00C24FCD">
              <w:rPr>
                <w:rStyle w:val="Hyperlink"/>
                <w:noProof/>
                <w:lang w:val="en-GB"/>
              </w:rPr>
              <w:t>Services Provided by SMAB Aquifers</w:t>
            </w:r>
            <w:r w:rsidR="003A349F">
              <w:rPr>
                <w:noProof/>
                <w:webHidden/>
              </w:rPr>
              <w:tab/>
            </w:r>
            <w:r w:rsidR="003A349F">
              <w:rPr>
                <w:noProof/>
                <w:webHidden/>
              </w:rPr>
              <w:fldChar w:fldCharType="begin"/>
            </w:r>
            <w:r w:rsidR="003A349F">
              <w:rPr>
                <w:noProof/>
                <w:webHidden/>
              </w:rPr>
              <w:instrText xml:space="preserve"> PAGEREF _Toc53651771 \h </w:instrText>
            </w:r>
            <w:r w:rsidR="003A349F">
              <w:rPr>
                <w:noProof/>
                <w:webHidden/>
              </w:rPr>
            </w:r>
            <w:r w:rsidR="003A349F">
              <w:rPr>
                <w:noProof/>
                <w:webHidden/>
              </w:rPr>
              <w:fldChar w:fldCharType="separate"/>
            </w:r>
            <w:r w:rsidR="005C583E">
              <w:rPr>
                <w:noProof/>
                <w:webHidden/>
              </w:rPr>
              <w:t>13</w:t>
            </w:r>
            <w:r w:rsidR="003A349F">
              <w:rPr>
                <w:noProof/>
                <w:webHidden/>
              </w:rPr>
              <w:fldChar w:fldCharType="end"/>
            </w:r>
          </w:hyperlink>
        </w:p>
        <w:p w14:paraId="3086C58C" w14:textId="31317031" w:rsidR="003A349F" w:rsidRDefault="00BF79CE" w:rsidP="003A349F">
          <w:pPr>
            <w:pStyle w:val="TOC3"/>
            <w:rPr>
              <w:rFonts w:eastAsiaTheme="minorEastAsia" w:cstheme="minorBidi"/>
              <w:szCs w:val="22"/>
              <w:lang w:eastAsia="fr-CH"/>
            </w:rPr>
          </w:pPr>
          <w:hyperlink w:anchor="_Toc53651772" w:history="1">
            <w:r w:rsidR="003A349F" w:rsidRPr="00C24FCD">
              <w:rPr>
                <w:rStyle w:val="Hyperlink"/>
              </w:rPr>
              <w:t>5.1</w:t>
            </w:r>
            <w:r w:rsidR="003A349F">
              <w:rPr>
                <w:rFonts w:eastAsiaTheme="minorEastAsia" w:cstheme="minorBidi"/>
                <w:szCs w:val="22"/>
                <w:lang w:eastAsia="fr-CH"/>
              </w:rPr>
              <w:tab/>
            </w:r>
            <w:r w:rsidR="003A349F" w:rsidRPr="00C24FCD">
              <w:rPr>
                <w:rStyle w:val="Hyperlink"/>
              </w:rPr>
              <w:t>Domestic, Agricultural, Industrial &amp; Tourism Extractions</w:t>
            </w:r>
            <w:r w:rsidR="003A349F">
              <w:rPr>
                <w:webHidden/>
              </w:rPr>
              <w:tab/>
            </w:r>
            <w:r w:rsidR="003A349F">
              <w:rPr>
                <w:webHidden/>
              </w:rPr>
              <w:fldChar w:fldCharType="begin"/>
            </w:r>
            <w:r w:rsidR="003A349F">
              <w:rPr>
                <w:webHidden/>
              </w:rPr>
              <w:instrText xml:space="preserve"> PAGEREF _Toc53651772 \h </w:instrText>
            </w:r>
            <w:r w:rsidR="003A349F">
              <w:rPr>
                <w:webHidden/>
              </w:rPr>
            </w:r>
            <w:r w:rsidR="003A349F">
              <w:rPr>
                <w:webHidden/>
              </w:rPr>
              <w:fldChar w:fldCharType="separate"/>
            </w:r>
            <w:r w:rsidR="005C583E">
              <w:rPr>
                <w:webHidden/>
              </w:rPr>
              <w:t>13</w:t>
            </w:r>
            <w:r w:rsidR="003A349F">
              <w:rPr>
                <w:webHidden/>
              </w:rPr>
              <w:fldChar w:fldCharType="end"/>
            </w:r>
          </w:hyperlink>
        </w:p>
        <w:p w14:paraId="3D55664C" w14:textId="4E2A6ECC" w:rsidR="003A349F" w:rsidRDefault="00BF79CE">
          <w:pPr>
            <w:pStyle w:val="TOC4"/>
            <w:tabs>
              <w:tab w:val="left" w:pos="1540"/>
              <w:tab w:val="right" w:leader="dot" w:pos="9630"/>
            </w:tabs>
            <w:rPr>
              <w:rFonts w:eastAsiaTheme="minorEastAsia" w:cstheme="minorBidi"/>
              <w:noProof/>
              <w:szCs w:val="22"/>
              <w:lang w:eastAsia="fr-CH"/>
            </w:rPr>
          </w:pPr>
          <w:hyperlink w:anchor="_Toc53651773" w:history="1">
            <w:r w:rsidR="003A349F" w:rsidRPr="00C24FCD">
              <w:rPr>
                <w:rStyle w:val="Hyperlink"/>
                <w:noProof/>
                <w:lang w:val="en-GB"/>
              </w:rPr>
              <w:t>5.1.1</w:t>
            </w:r>
            <w:r w:rsidR="003A349F">
              <w:rPr>
                <w:rFonts w:eastAsiaTheme="minorEastAsia" w:cstheme="minorBidi"/>
                <w:noProof/>
                <w:szCs w:val="22"/>
                <w:lang w:eastAsia="fr-CH"/>
              </w:rPr>
              <w:tab/>
            </w:r>
            <w:r w:rsidR="003A349F" w:rsidRPr="00C24FCD">
              <w:rPr>
                <w:rStyle w:val="Hyperlink"/>
                <w:noProof/>
                <w:lang w:val="en-GB"/>
              </w:rPr>
              <w:t>Domestic extraction</w:t>
            </w:r>
            <w:r w:rsidR="003A349F">
              <w:rPr>
                <w:noProof/>
                <w:webHidden/>
              </w:rPr>
              <w:tab/>
            </w:r>
            <w:r w:rsidR="003A349F">
              <w:rPr>
                <w:noProof/>
                <w:webHidden/>
              </w:rPr>
              <w:fldChar w:fldCharType="begin"/>
            </w:r>
            <w:r w:rsidR="003A349F">
              <w:rPr>
                <w:noProof/>
                <w:webHidden/>
              </w:rPr>
              <w:instrText xml:space="preserve"> PAGEREF _Toc53651773 \h </w:instrText>
            </w:r>
            <w:r w:rsidR="003A349F">
              <w:rPr>
                <w:noProof/>
                <w:webHidden/>
              </w:rPr>
            </w:r>
            <w:r w:rsidR="003A349F">
              <w:rPr>
                <w:noProof/>
                <w:webHidden/>
              </w:rPr>
              <w:fldChar w:fldCharType="separate"/>
            </w:r>
            <w:r w:rsidR="005C583E">
              <w:rPr>
                <w:noProof/>
                <w:webHidden/>
              </w:rPr>
              <w:t>13</w:t>
            </w:r>
            <w:r w:rsidR="003A349F">
              <w:rPr>
                <w:noProof/>
                <w:webHidden/>
              </w:rPr>
              <w:fldChar w:fldCharType="end"/>
            </w:r>
          </w:hyperlink>
        </w:p>
        <w:p w14:paraId="104254AB" w14:textId="1A65137D" w:rsidR="003A349F" w:rsidRDefault="00BF79CE">
          <w:pPr>
            <w:pStyle w:val="TOC4"/>
            <w:tabs>
              <w:tab w:val="left" w:pos="1540"/>
              <w:tab w:val="right" w:leader="dot" w:pos="9630"/>
            </w:tabs>
            <w:rPr>
              <w:rFonts w:eastAsiaTheme="minorEastAsia" w:cstheme="minorBidi"/>
              <w:noProof/>
              <w:szCs w:val="22"/>
              <w:lang w:eastAsia="fr-CH"/>
            </w:rPr>
          </w:pPr>
          <w:hyperlink w:anchor="_Toc53651774" w:history="1">
            <w:r w:rsidR="003A349F" w:rsidRPr="00C24FCD">
              <w:rPr>
                <w:rStyle w:val="Hyperlink"/>
                <w:noProof/>
                <w:lang w:val="en-GB"/>
              </w:rPr>
              <w:t>5.1.2</w:t>
            </w:r>
            <w:r w:rsidR="003A349F">
              <w:rPr>
                <w:rFonts w:eastAsiaTheme="minorEastAsia" w:cstheme="minorBidi"/>
                <w:noProof/>
                <w:szCs w:val="22"/>
                <w:lang w:eastAsia="fr-CH"/>
              </w:rPr>
              <w:tab/>
            </w:r>
            <w:r w:rsidR="003A349F" w:rsidRPr="00C24FCD">
              <w:rPr>
                <w:rStyle w:val="Hyperlink"/>
                <w:noProof/>
                <w:lang w:val="en-GB"/>
              </w:rPr>
              <w:t>Extraction for agriculture and grazing</w:t>
            </w:r>
            <w:r w:rsidR="003A349F">
              <w:rPr>
                <w:noProof/>
                <w:webHidden/>
              </w:rPr>
              <w:tab/>
            </w:r>
            <w:r w:rsidR="003A349F">
              <w:rPr>
                <w:noProof/>
                <w:webHidden/>
              </w:rPr>
              <w:fldChar w:fldCharType="begin"/>
            </w:r>
            <w:r w:rsidR="003A349F">
              <w:rPr>
                <w:noProof/>
                <w:webHidden/>
              </w:rPr>
              <w:instrText xml:space="preserve"> PAGEREF _Toc53651774 \h </w:instrText>
            </w:r>
            <w:r w:rsidR="003A349F">
              <w:rPr>
                <w:noProof/>
                <w:webHidden/>
              </w:rPr>
            </w:r>
            <w:r w:rsidR="003A349F">
              <w:rPr>
                <w:noProof/>
                <w:webHidden/>
              </w:rPr>
              <w:fldChar w:fldCharType="separate"/>
            </w:r>
            <w:r w:rsidR="005C583E">
              <w:rPr>
                <w:noProof/>
                <w:webHidden/>
              </w:rPr>
              <w:t>14</w:t>
            </w:r>
            <w:r w:rsidR="003A349F">
              <w:rPr>
                <w:noProof/>
                <w:webHidden/>
              </w:rPr>
              <w:fldChar w:fldCharType="end"/>
            </w:r>
          </w:hyperlink>
        </w:p>
        <w:p w14:paraId="5BB6DC8A" w14:textId="16A2C520" w:rsidR="003A349F" w:rsidRDefault="00BF79CE">
          <w:pPr>
            <w:pStyle w:val="TOC4"/>
            <w:tabs>
              <w:tab w:val="left" w:pos="1540"/>
              <w:tab w:val="right" w:leader="dot" w:pos="9630"/>
            </w:tabs>
            <w:rPr>
              <w:rFonts w:eastAsiaTheme="minorEastAsia" w:cstheme="minorBidi"/>
              <w:noProof/>
              <w:szCs w:val="22"/>
              <w:lang w:eastAsia="fr-CH"/>
            </w:rPr>
          </w:pPr>
          <w:hyperlink w:anchor="_Toc53651775" w:history="1">
            <w:r w:rsidR="003A349F" w:rsidRPr="00C24FCD">
              <w:rPr>
                <w:rStyle w:val="Hyperlink"/>
                <w:noProof/>
                <w:lang w:val="en-GB"/>
              </w:rPr>
              <w:t>5.1.3</w:t>
            </w:r>
            <w:r w:rsidR="003A349F">
              <w:rPr>
                <w:rFonts w:eastAsiaTheme="minorEastAsia" w:cstheme="minorBidi"/>
                <w:noProof/>
                <w:szCs w:val="22"/>
                <w:lang w:eastAsia="fr-CH"/>
              </w:rPr>
              <w:tab/>
            </w:r>
            <w:r w:rsidR="003A349F" w:rsidRPr="00C24FCD">
              <w:rPr>
                <w:rStyle w:val="Hyperlink"/>
                <w:noProof/>
                <w:lang w:val="en-GB"/>
              </w:rPr>
              <w:t>Industry and service</w:t>
            </w:r>
            <w:r w:rsidR="003A349F">
              <w:rPr>
                <w:noProof/>
                <w:webHidden/>
              </w:rPr>
              <w:tab/>
            </w:r>
            <w:r w:rsidR="003A349F">
              <w:rPr>
                <w:noProof/>
                <w:webHidden/>
              </w:rPr>
              <w:fldChar w:fldCharType="begin"/>
            </w:r>
            <w:r w:rsidR="003A349F">
              <w:rPr>
                <w:noProof/>
                <w:webHidden/>
              </w:rPr>
              <w:instrText xml:space="preserve"> PAGEREF _Toc53651775 \h </w:instrText>
            </w:r>
            <w:r w:rsidR="003A349F">
              <w:rPr>
                <w:noProof/>
                <w:webHidden/>
              </w:rPr>
            </w:r>
            <w:r w:rsidR="003A349F">
              <w:rPr>
                <w:noProof/>
                <w:webHidden/>
              </w:rPr>
              <w:fldChar w:fldCharType="separate"/>
            </w:r>
            <w:r w:rsidR="005C583E">
              <w:rPr>
                <w:noProof/>
                <w:webHidden/>
              </w:rPr>
              <w:t>14</w:t>
            </w:r>
            <w:r w:rsidR="003A349F">
              <w:rPr>
                <w:noProof/>
                <w:webHidden/>
              </w:rPr>
              <w:fldChar w:fldCharType="end"/>
            </w:r>
          </w:hyperlink>
        </w:p>
        <w:p w14:paraId="113791B9" w14:textId="47A64054" w:rsidR="003A349F" w:rsidRDefault="00BF79CE" w:rsidP="003A349F">
          <w:pPr>
            <w:pStyle w:val="TOC3"/>
            <w:rPr>
              <w:rFonts w:eastAsiaTheme="minorEastAsia" w:cstheme="minorBidi"/>
              <w:szCs w:val="22"/>
              <w:lang w:eastAsia="fr-CH"/>
            </w:rPr>
          </w:pPr>
          <w:hyperlink w:anchor="_Toc53651776" w:history="1">
            <w:r w:rsidR="003A349F" w:rsidRPr="00C24FCD">
              <w:rPr>
                <w:rStyle w:val="Hyperlink"/>
              </w:rPr>
              <w:t>5.2</w:t>
            </w:r>
            <w:r w:rsidR="003A349F">
              <w:rPr>
                <w:rFonts w:eastAsiaTheme="minorEastAsia" w:cstheme="minorBidi"/>
                <w:szCs w:val="22"/>
                <w:lang w:eastAsia="fr-CH"/>
              </w:rPr>
              <w:tab/>
            </w:r>
            <w:r w:rsidR="003A349F" w:rsidRPr="00C24FCD">
              <w:rPr>
                <w:rStyle w:val="Hyperlink"/>
              </w:rPr>
              <w:t>Water Course and River Ecosystem Services</w:t>
            </w:r>
            <w:r w:rsidR="003A349F">
              <w:rPr>
                <w:webHidden/>
              </w:rPr>
              <w:tab/>
            </w:r>
            <w:r w:rsidR="003A349F">
              <w:rPr>
                <w:webHidden/>
              </w:rPr>
              <w:fldChar w:fldCharType="begin"/>
            </w:r>
            <w:r w:rsidR="003A349F">
              <w:rPr>
                <w:webHidden/>
              </w:rPr>
              <w:instrText xml:space="preserve"> PAGEREF _Toc53651776 \h </w:instrText>
            </w:r>
            <w:r w:rsidR="003A349F">
              <w:rPr>
                <w:webHidden/>
              </w:rPr>
            </w:r>
            <w:r w:rsidR="003A349F">
              <w:rPr>
                <w:webHidden/>
              </w:rPr>
              <w:fldChar w:fldCharType="separate"/>
            </w:r>
            <w:r w:rsidR="005C583E">
              <w:rPr>
                <w:webHidden/>
              </w:rPr>
              <w:t>14</w:t>
            </w:r>
            <w:r w:rsidR="003A349F">
              <w:rPr>
                <w:webHidden/>
              </w:rPr>
              <w:fldChar w:fldCharType="end"/>
            </w:r>
          </w:hyperlink>
        </w:p>
        <w:p w14:paraId="3E8743F5" w14:textId="64B04151" w:rsidR="000246BB" w:rsidRPr="000E585E" w:rsidRDefault="00BF79CE" w:rsidP="000E585E">
          <w:pPr>
            <w:pStyle w:val="TOC2"/>
            <w:tabs>
              <w:tab w:val="left" w:pos="660"/>
              <w:tab w:val="right" w:leader="dot" w:pos="9630"/>
            </w:tabs>
          </w:pPr>
          <w:hyperlink w:anchor="_Toc53651777" w:history="1">
            <w:r w:rsidR="003A349F" w:rsidRPr="00C24FCD">
              <w:rPr>
                <w:rStyle w:val="Hyperlink"/>
                <w:noProof/>
                <w:lang w:val="en-GB"/>
              </w:rPr>
              <w:t>6</w:t>
            </w:r>
            <w:r w:rsidR="003A349F">
              <w:rPr>
                <w:rFonts w:eastAsiaTheme="minorEastAsia" w:cstheme="minorBidi"/>
                <w:noProof/>
                <w:szCs w:val="22"/>
                <w:lang w:eastAsia="fr-CH"/>
              </w:rPr>
              <w:tab/>
            </w:r>
            <w:r w:rsidR="003A349F" w:rsidRPr="00C24FCD">
              <w:rPr>
                <w:rStyle w:val="Hyperlink"/>
                <w:noProof/>
                <w:lang w:val="en-GB"/>
              </w:rPr>
              <w:t>Studies Carried Out in the SMAB and Knowledge Gained</w:t>
            </w:r>
            <w:r w:rsidR="003A349F">
              <w:rPr>
                <w:noProof/>
                <w:webHidden/>
              </w:rPr>
              <w:tab/>
            </w:r>
            <w:r w:rsidR="003A349F">
              <w:rPr>
                <w:noProof/>
                <w:webHidden/>
              </w:rPr>
              <w:fldChar w:fldCharType="begin"/>
            </w:r>
            <w:r w:rsidR="003A349F">
              <w:rPr>
                <w:noProof/>
                <w:webHidden/>
              </w:rPr>
              <w:instrText xml:space="preserve"> PAGEREF _Toc53651777 \h </w:instrText>
            </w:r>
            <w:r w:rsidR="003A349F">
              <w:rPr>
                <w:noProof/>
                <w:webHidden/>
              </w:rPr>
            </w:r>
            <w:r w:rsidR="003A349F">
              <w:rPr>
                <w:noProof/>
                <w:webHidden/>
              </w:rPr>
              <w:fldChar w:fldCharType="separate"/>
            </w:r>
            <w:r w:rsidR="005C583E">
              <w:rPr>
                <w:noProof/>
                <w:webHidden/>
              </w:rPr>
              <w:t>15</w:t>
            </w:r>
            <w:r w:rsidR="003A349F">
              <w:rPr>
                <w:noProof/>
                <w:webHidden/>
              </w:rPr>
              <w:fldChar w:fldCharType="end"/>
            </w:r>
          </w:hyperlink>
          <w:r w:rsidR="00CD5A06">
            <w:fldChar w:fldCharType="end"/>
          </w:r>
        </w:p>
      </w:sdtContent>
    </w:sdt>
    <w:p w14:paraId="086B947F" w14:textId="52460B62" w:rsidR="000126B6" w:rsidRDefault="000126B6" w:rsidP="000126B6">
      <w:pPr>
        <w:rPr>
          <w:lang w:val="en-GB"/>
        </w:rPr>
      </w:pPr>
    </w:p>
    <w:p w14:paraId="642F89B6" w14:textId="77777777" w:rsidR="00DE57B3" w:rsidRPr="000126B6" w:rsidRDefault="00DE57B3" w:rsidP="000126B6">
      <w:pPr>
        <w:rPr>
          <w:lang w:val="en-GB"/>
        </w:rPr>
      </w:pPr>
    </w:p>
    <w:p w14:paraId="7BFA8413" w14:textId="194508B4" w:rsidR="00AC0125" w:rsidRPr="00AC0125" w:rsidRDefault="00190EA0" w:rsidP="00AC0125">
      <w:pPr>
        <w:pStyle w:val="Heading2"/>
        <w:rPr>
          <w:lang w:val="en-GB"/>
        </w:rPr>
      </w:pPr>
      <w:bookmarkStart w:id="0" w:name="_Toc53651748"/>
      <w:r w:rsidRPr="00AC0125">
        <w:t>I</w:t>
      </w:r>
      <w:r w:rsidR="00953AAE">
        <w:t>ntroduction</w:t>
      </w:r>
      <w:bookmarkEnd w:id="0"/>
    </w:p>
    <w:p w14:paraId="7D8A2F67" w14:textId="3AD376D6" w:rsidR="006F751C" w:rsidRPr="00190EA0" w:rsidRDefault="00540799" w:rsidP="00AC0125">
      <w:pPr>
        <w:pStyle w:val="Heading3"/>
        <w:rPr>
          <w:lang w:val="en-GB"/>
        </w:rPr>
      </w:pPr>
      <w:bookmarkStart w:id="1" w:name="_Toc53651749"/>
      <w:r w:rsidRPr="00190EA0">
        <w:t>Background</w:t>
      </w:r>
      <w:bookmarkEnd w:id="1"/>
    </w:p>
    <w:p w14:paraId="7950CA03" w14:textId="7BDD8EF4" w:rsidR="006F77CC" w:rsidRDefault="001801F7" w:rsidP="00F03419">
      <w:pPr>
        <w:rPr>
          <w:lang w:val="en-GB"/>
        </w:rPr>
      </w:pPr>
      <w:r w:rsidRPr="001801F7">
        <w:rPr>
          <w:lang w:val="en-GB"/>
        </w:rPr>
        <w:t>The Senegalo-Mauritanian Aquifer Basin (SMAB) States, which include Gambia, Guinea Bissau, Mauritania and Senegal, have been engaged in dialogue aimed at implementing transboundary cooperation with regard to this shared water resource. This dialogue is in close collaboration with the Transboundary Basin Organizations (TBO), that is, the Gambia River Basin Development Organization (OMVG) and Senegal River Basin Development Organization (OMVS). This dialogue has also received support from the Geneva Water Hub (GWH) and the Secretariat to the Convention on the Protection and Use of Transboundary Water Courses and International Lakes (hereafter, the Water Convention), under aegis of the United Nations Economic Commission for Europe (UNECE).</w:t>
      </w:r>
    </w:p>
    <w:p w14:paraId="24101DBB" w14:textId="1E172500" w:rsidR="001801F7" w:rsidRPr="001801F7" w:rsidRDefault="001801F7" w:rsidP="00AC0125">
      <w:pPr>
        <w:pStyle w:val="Heading3"/>
        <w:rPr>
          <w:lang w:val="en-GB"/>
        </w:rPr>
      </w:pPr>
      <w:bookmarkStart w:id="2" w:name="_Toc53651750"/>
      <w:r>
        <w:rPr>
          <w:lang w:val="en-GB"/>
        </w:rPr>
        <w:t>General Objective</w:t>
      </w:r>
      <w:bookmarkEnd w:id="2"/>
    </w:p>
    <w:p w14:paraId="7D737BAD" w14:textId="77777777" w:rsidR="001801F7" w:rsidRPr="001801F7" w:rsidRDefault="001801F7" w:rsidP="00F03419">
      <w:pPr>
        <w:rPr>
          <w:lang w:val="en-GB"/>
        </w:rPr>
      </w:pPr>
      <w:r w:rsidRPr="001801F7">
        <w:rPr>
          <w:lang w:val="en-GB"/>
        </w:rPr>
        <w:t xml:space="preserve">Regional dialogue on the SMAB aims to establish transboundary cooperation with regard to this shared groundwater resource. It is carried out by the SMAB States, that is, Gambia, Guinea Bissau, Mauritania and Senegal, in close collaboration with the Transboundary Basin Organizations (TBO), that is, the Gambia River Basin Development Organization (OMVG) and Senegal River Basin Development Organization (OMVS). </w:t>
      </w:r>
    </w:p>
    <w:p w14:paraId="6EE6540C" w14:textId="6F9F1241" w:rsidR="002070A5" w:rsidRDefault="001801F7" w:rsidP="00F03419">
      <w:pPr>
        <w:rPr>
          <w:lang w:val="en-GB"/>
        </w:rPr>
      </w:pPr>
      <w:r w:rsidRPr="001801F7">
        <w:rPr>
          <w:lang w:val="en-GB"/>
        </w:rPr>
        <w:t>The objective of this dialogue is to produce a project document and plan of action for the implementation of a long-term mechanism for joint management of the SMAB. In order to achieve this, reports and diagnostics (five in all) are the deliverables making it possible to support strategic choices and the project. Among them, this third report aims to provide information on the real extent of the SMAB and its recharge, including mapping, in order to serve as a foundation for decision-making regarding the need for the TBOs to provide general management to complement the S</w:t>
      </w:r>
      <w:r w:rsidR="000126B6">
        <w:rPr>
          <w:lang w:val="en-GB"/>
        </w:rPr>
        <w:t>MAB’s surface water management.</w:t>
      </w:r>
    </w:p>
    <w:p w14:paraId="3CEB3FF9" w14:textId="11F4BB70" w:rsidR="00F03419" w:rsidRDefault="001801F7" w:rsidP="00F03419">
      <w:pPr>
        <w:pStyle w:val="Heading2"/>
        <w:rPr>
          <w:lang w:val="en-GB"/>
        </w:rPr>
      </w:pPr>
      <w:bookmarkStart w:id="3" w:name="_Toc53651751"/>
      <w:r w:rsidRPr="001801F7">
        <w:rPr>
          <w:lang w:val="en-GB"/>
        </w:rPr>
        <w:t>G</w:t>
      </w:r>
      <w:r w:rsidR="00F03419">
        <w:rPr>
          <w:lang w:val="en-GB"/>
        </w:rPr>
        <w:t>roundwater in the</w:t>
      </w:r>
      <w:r w:rsidRPr="001801F7">
        <w:rPr>
          <w:lang w:val="en-GB"/>
        </w:rPr>
        <w:t xml:space="preserve"> SMAB</w:t>
      </w:r>
      <w:bookmarkEnd w:id="3"/>
    </w:p>
    <w:p w14:paraId="11792615" w14:textId="0A1978EA" w:rsidR="00F03419" w:rsidRPr="00F03419" w:rsidRDefault="00F03419" w:rsidP="00F03419">
      <w:pPr>
        <w:pStyle w:val="Heading3"/>
        <w:rPr>
          <w:lang w:val="en-GB"/>
        </w:rPr>
      </w:pPr>
      <w:bookmarkStart w:id="4" w:name="_Toc53651752"/>
      <w:r w:rsidRPr="00F03419">
        <w:rPr>
          <w:lang w:val="en-GB"/>
        </w:rPr>
        <w:t>G</w:t>
      </w:r>
      <w:r>
        <w:rPr>
          <w:lang w:val="en-GB"/>
        </w:rPr>
        <w:t>roundwater, the Main Source of Water in the SMAB</w:t>
      </w:r>
      <w:bookmarkEnd w:id="4"/>
      <w:r>
        <w:rPr>
          <w:lang w:val="en-GB"/>
        </w:rPr>
        <w:t xml:space="preserve"> </w:t>
      </w:r>
    </w:p>
    <w:p w14:paraId="69C65E01" w14:textId="77777777" w:rsidR="00F03419" w:rsidRPr="00F03419" w:rsidRDefault="00F03419" w:rsidP="00F03419">
      <w:pPr>
        <w:rPr>
          <w:lang w:val="en-GB"/>
        </w:rPr>
      </w:pPr>
      <w:r w:rsidRPr="00F03419">
        <w:rPr>
          <w:lang w:val="en-GB"/>
        </w:rPr>
        <w:t xml:space="preserve">Groundwater plays a major role in Africa’s socioeconomic development. According to UNECA (2000), 75 per cent of Africa’s population depends on groundwater to meet its basic water supply needs. Groundwater is widely used in Africa, which is home to over 70 transboundary aquifer systems (IGRAC 2015). </w:t>
      </w:r>
    </w:p>
    <w:p w14:paraId="7A11291F" w14:textId="175ED03F" w:rsidR="00F03419" w:rsidRPr="00F03419" w:rsidRDefault="00F03419" w:rsidP="00F03419">
      <w:pPr>
        <w:rPr>
          <w:lang w:val="en-GB"/>
        </w:rPr>
      </w:pPr>
      <w:r w:rsidRPr="00F03419">
        <w:rPr>
          <w:lang w:val="en-GB"/>
        </w:rPr>
        <w:t xml:space="preserve">The SMAB countries, that is, Gambia, Guinea Bissau, </w:t>
      </w:r>
      <w:r w:rsidR="000C2B9E" w:rsidRPr="00F03419">
        <w:rPr>
          <w:lang w:val="en-GB"/>
        </w:rPr>
        <w:t>Mauritania,</w:t>
      </w:r>
      <w:r w:rsidRPr="00F03419">
        <w:rPr>
          <w:lang w:val="en-GB"/>
        </w:rPr>
        <w:t xml:space="preserve"> and Senegal, depend on groundwater resources to meet 80 per cent of their population’s domestic needs (DGPRE, 2011; NIRAS, 2015). In rural zones, groundwater is often the only source available to meet water supply needs, and due to demographic pressure, climate variation and economic changes, there is a risk of a substantial increase in the use of groundwater, notably for irrigated agriculture. This is already the case in urban centres, such as </w:t>
      </w:r>
      <w:r w:rsidRPr="00A32357">
        <w:rPr>
          <w:lang w:val="en-GB"/>
        </w:rPr>
        <w:t>the Dakar region, where 60 per cent of the water supply is provided by groundwater from the SMAB aquifer system.</w:t>
      </w:r>
      <w:r w:rsidRPr="00F03419">
        <w:rPr>
          <w:lang w:val="en-GB"/>
        </w:rPr>
        <w:t xml:space="preserve"> </w:t>
      </w:r>
    </w:p>
    <w:p w14:paraId="1AF33492" w14:textId="280B362F" w:rsidR="00F03419" w:rsidRDefault="00F03419" w:rsidP="00F03419">
      <w:pPr>
        <w:rPr>
          <w:lang w:val="en-GB"/>
        </w:rPr>
      </w:pPr>
      <w:r w:rsidRPr="00F03419">
        <w:rPr>
          <w:lang w:val="en-GB"/>
        </w:rPr>
        <w:t xml:space="preserve">Additionally, the SMAB countries have adopted the 2030 Sustainable Development Agenda, with international commitments aimed at, inter alia, “achieving universal and equitable access to safe and affordable drinking water for all” (SDG 6.1), as well as fighting poverty, ensuring food security and preserving the environment. As part of this </w:t>
      </w:r>
      <w:r w:rsidRPr="00F03419">
        <w:rPr>
          <w:lang w:val="en-GB"/>
        </w:rPr>
        <w:lastRenderedPageBreak/>
        <w:t>framework, groundwater will be in high demand. In order to preserve it, transboundary cooperation is more necessary than ever in order to improve the knowledge base and institutional mechanism to promote the implementation of appropriate shared (ground) water resources management. The TBOs play an essential role in this approach.</w:t>
      </w:r>
    </w:p>
    <w:p w14:paraId="3CBB2753" w14:textId="0A054F1B" w:rsidR="002E2314" w:rsidRPr="002E2314" w:rsidRDefault="002E2314" w:rsidP="002E2314">
      <w:pPr>
        <w:pStyle w:val="Heading3"/>
        <w:rPr>
          <w:lang w:val="en-GB"/>
        </w:rPr>
      </w:pPr>
      <w:bookmarkStart w:id="5" w:name="_Toc53651753"/>
      <w:r w:rsidRPr="002E2314">
        <w:rPr>
          <w:lang w:val="en-GB"/>
        </w:rPr>
        <w:t>T</w:t>
      </w:r>
      <w:r>
        <w:rPr>
          <w:lang w:val="en-GB"/>
        </w:rPr>
        <w:t>he</w:t>
      </w:r>
      <w:r w:rsidRPr="002E2314">
        <w:rPr>
          <w:lang w:val="en-GB"/>
        </w:rPr>
        <w:t xml:space="preserve"> R</w:t>
      </w:r>
      <w:r>
        <w:rPr>
          <w:lang w:val="en-GB"/>
        </w:rPr>
        <w:t>ole of the TBOs in Water Resource Management</w:t>
      </w:r>
      <w:bookmarkEnd w:id="5"/>
    </w:p>
    <w:p w14:paraId="72E0706B" w14:textId="77777777" w:rsidR="002E2314" w:rsidRPr="002E2314" w:rsidRDefault="002E2314" w:rsidP="002E2314">
      <w:pPr>
        <w:rPr>
          <w:lang w:val="en-GB"/>
        </w:rPr>
      </w:pPr>
      <w:r w:rsidRPr="002E2314">
        <w:rPr>
          <w:lang w:val="en-GB"/>
        </w:rPr>
        <w:t xml:space="preserve">The Gambia River Basin Development Organization (OMVG) and the Senegal River Basin Development Organization (OMVS) have similar missions, that is, developing their respective basins, economic development, improving the living conditions of neighbouring communities and fighting poverty in a context of sustainable development. The OMVG manages three drainage basins, the Gambia, Kayanga-Geba and Koliba-Corubal, while the OMVS manages the Senegal River Basin. Both have a political mandate covering a large portion of the SMAB. </w:t>
      </w:r>
    </w:p>
    <w:p w14:paraId="2745ADD6" w14:textId="2B67BE2E" w:rsidR="002E2314" w:rsidRPr="002E2314" w:rsidRDefault="002E2314" w:rsidP="002E2314">
      <w:pPr>
        <w:rPr>
          <w:lang w:val="en-GB"/>
        </w:rPr>
      </w:pPr>
      <w:r w:rsidRPr="002E2314">
        <w:rPr>
          <w:lang w:val="en-GB"/>
        </w:rPr>
        <w:t xml:space="preserve">Both river basin organizations also have lengthy experience with the transboundary management of surface water. From this perspective, they provide a “ready-to-use” platform to address </w:t>
      </w:r>
      <w:r w:rsidR="000C2B9E" w:rsidRPr="002E2314">
        <w:rPr>
          <w:lang w:val="en-GB"/>
        </w:rPr>
        <w:t>mutually beneficial</w:t>
      </w:r>
      <w:r w:rsidRPr="002E2314">
        <w:rPr>
          <w:lang w:val="en-GB"/>
        </w:rPr>
        <w:t xml:space="preserve"> groundwater management and their strategic use for adaptation to climate change, as well as the socioeconomic development of member states’ populations. This leadership will become more beneficial, as they will be able to promote better understanding and appreciation of the exact dynamics of the interaction between groundwater and river systems (integration of groundwater in the broader management of water resources in general), as well as the groundwater system’s links and dependencies (base flow, tributary ecosystems and aquifer recharge). </w:t>
      </w:r>
    </w:p>
    <w:p w14:paraId="372AB30D" w14:textId="77777777" w:rsidR="002E2314" w:rsidRPr="002E2314" w:rsidRDefault="002E2314" w:rsidP="002E2314">
      <w:pPr>
        <w:rPr>
          <w:lang w:val="en-GB"/>
        </w:rPr>
      </w:pPr>
      <w:r w:rsidRPr="002E2314">
        <w:rPr>
          <w:lang w:val="en-GB"/>
        </w:rPr>
        <w:t xml:space="preserve">During its sixth session in Brazzaville (Congo) from 30 to 31 May 2007, the African Ministers Council on Water (AMCOW) spoke in its resolution of the need to promote </w:t>
      </w:r>
      <w:r w:rsidRPr="002E2314">
        <w:rPr>
          <w:i/>
          <w:lang w:val="en-GB"/>
        </w:rPr>
        <w:t xml:space="preserve">“the institutionalization of </w:t>
      </w:r>
      <w:r w:rsidRPr="002E2314">
        <w:rPr>
          <w:b/>
          <w:i/>
          <w:lang w:val="en-GB"/>
        </w:rPr>
        <w:t>groundwater management by river basin organizations</w:t>
      </w:r>
      <w:r w:rsidRPr="002E2314">
        <w:rPr>
          <w:i/>
          <w:lang w:val="en-GB"/>
        </w:rPr>
        <w:t>”</w:t>
      </w:r>
      <w:r w:rsidRPr="002E2314">
        <w:rPr>
          <w:lang w:val="en-GB"/>
        </w:rPr>
        <w:t xml:space="preserve">. </w:t>
      </w:r>
    </w:p>
    <w:p w14:paraId="7C23B80F" w14:textId="77777777" w:rsidR="002E2314" w:rsidRPr="002E2314" w:rsidRDefault="002E2314" w:rsidP="002E2314">
      <w:pPr>
        <w:rPr>
          <w:lang w:val="en-GB"/>
        </w:rPr>
      </w:pPr>
      <w:r w:rsidRPr="002E2314">
        <w:rPr>
          <w:lang w:val="en-GB"/>
        </w:rPr>
        <w:t xml:space="preserve">Additionally, the final communique from the Seventh Africa Water Week (Libreville, 29 October – 2 November 2018) “urges AMCOW to set up an African Groundwater knowledge sharing and policy coordination desk… for the promotion and increased understanding and use of groundwater resources in addressing water security in Africa”. </w:t>
      </w:r>
    </w:p>
    <w:p w14:paraId="01591C73" w14:textId="4364401C" w:rsidR="002E2314" w:rsidRPr="002E2314" w:rsidRDefault="002E2314" w:rsidP="002E2314">
      <w:pPr>
        <w:rPr>
          <w:lang w:val="en-GB"/>
        </w:rPr>
      </w:pPr>
      <w:r w:rsidRPr="002E2314">
        <w:rPr>
          <w:lang w:val="en-GB"/>
        </w:rPr>
        <w:t xml:space="preserve">Both transboundary river basin organizations are members AMCOW’s “technical arm”, the </w:t>
      </w:r>
      <w:r w:rsidR="006628CE">
        <w:rPr>
          <w:lang w:val="en-GB"/>
        </w:rPr>
        <w:t>African Networks of River Basin Organisations (</w:t>
      </w:r>
      <w:r w:rsidRPr="002E2314">
        <w:rPr>
          <w:lang w:val="en-GB"/>
        </w:rPr>
        <w:t>ANBO</w:t>
      </w:r>
      <w:r w:rsidR="006628CE">
        <w:rPr>
          <w:lang w:val="en-GB"/>
        </w:rPr>
        <w:t>)</w:t>
      </w:r>
      <w:r w:rsidRPr="002E2314">
        <w:rPr>
          <w:lang w:val="en-GB"/>
        </w:rPr>
        <w:t>, which has long urged that the development opportunities provided by transboundary aquifers be considered and included in the mission of African River Basin Organizations. It is also worth noting that in its Article 17, the OMVS Water Charter stipulates “</w:t>
      </w:r>
      <w:r w:rsidRPr="002E2314">
        <w:rPr>
          <w:i/>
          <w:lang w:val="en-GB"/>
        </w:rPr>
        <w:t>mapping aquifer recharge zones, in order to take inventory and delineate accretion and capture zones and understand the interaction between surface water and groundwater</w:t>
      </w:r>
      <w:r w:rsidRPr="002E2314">
        <w:rPr>
          <w:lang w:val="en-GB"/>
        </w:rPr>
        <w:t>.”</w:t>
      </w:r>
    </w:p>
    <w:p w14:paraId="2574C2DF" w14:textId="64B333DD" w:rsidR="002E2314" w:rsidRPr="002E2314" w:rsidRDefault="002E2314" w:rsidP="002E2314">
      <w:pPr>
        <w:pStyle w:val="Heading2"/>
        <w:rPr>
          <w:lang w:val="en-GB"/>
        </w:rPr>
      </w:pPr>
      <w:bookmarkStart w:id="6" w:name="_Toc53651754"/>
      <w:r w:rsidRPr="002E2314">
        <w:rPr>
          <w:lang w:val="en-GB"/>
        </w:rPr>
        <w:t>S</w:t>
      </w:r>
      <w:r>
        <w:rPr>
          <w:lang w:val="en-GB"/>
        </w:rPr>
        <w:t>MAB Features</w:t>
      </w:r>
      <w:bookmarkEnd w:id="6"/>
    </w:p>
    <w:p w14:paraId="0B64AC32" w14:textId="71300F37" w:rsidR="002E2314" w:rsidRPr="002E2314" w:rsidRDefault="002E2314" w:rsidP="002E2314">
      <w:pPr>
        <w:pStyle w:val="Heading3"/>
        <w:rPr>
          <w:lang w:val="en-GB"/>
        </w:rPr>
      </w:pPr>
      <w:bookmarkStart w:id="7" w:name="_Toc53651755"/>
      <w:r w:rsidRPr="002E2314">
        <w:rPr>
          <w:lang w:val="en-GB"/>
        </w:rPr>
        <w:t>E</w:t>
      </w:r>
      <w:r>
        <w:rPr>
          <w:lang w:val="en-GB"/>
        </w:rPr>
        <w:t>xtent of the the</w:t>
      </w:r>
      <w:r w:rsidRPr="002E2314">
        <w:rPr>
          <w:lang w:val="en-GB"/>
        </w:rPr>
        <w:t xml:space="preserve"> SMAB</w:t>
      </w:r>
      <w:bookmarkEnd w:id="7"/>
    </w:p>
    <w:p w14:paraId="2AFEDFBE" w14:textId="1000A176" w:rsidR="00024A6E" w:rsidRDefault="002E2314" w:rsidP="002E2314">
      <w:pPr>
        <w:rPr>
          <w:lang w:val="en-GB"/>
        </w:rPr>
      </w:pPr>
      <w:r w:rsidRPr="002E2314">
        <w:rPr>
          <w:lang w:val="en-GB"/>
        </w:rPr>
        <w:t>The Senegalo-Mauritanian Aquifer Basin stretches over about 1,300 km, between Cap Blanc in Mauritania to the north, and Cap Roxo in Guinea Bissau to the south. It spans 550 km at the latitude of Dakar, bordered by the Atlantic Ocean to the west, the Precambrian base of the Reguibat RIse to the north, and to the metamorphic rocks of the Mauritanides Belt to the east and southeast. To the south, the basin lies on the Paleozoic sediments of the Bove Basin (Figure 1).</w:t>
      </w:r>
    </w:p>
    <w:p w14:paraId="033EDF46" w14:textId="3A6FA490" w:rsidR="006B2F39" w:rsidRDefault="00245ECB" w:rsidP="00D57005">
      <w:pPr>
        <w:jc w:val="center"/>
        <w:rPr>
          <w:lang w:val="en-GB"/>
        </w:rPr>
      </w:pPr>
      <w:r w:rsidRPr="00120701">
        <w:rPr>
          <w:noProof/>
          <w:lang w:eastAsia="fr-CH"/>
        </w:rPr>
        <w:lastRenderedPageBreak/>
        <w:drawing>
          <wp:inline distT="0" distB="0" distL="0" distR="0" wp14:anchorId="3C762744" wp14:editId="28B47C61">
            <wp:extent cx="4029075" cy="57023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9075" cy="5702392"/>
                    </a:xfrm>
                    <a:prstGeom prst="rect">
                      <a:avLst/>
                    </a:prstGeom>
                    <a:noFill/>
                    <a:ln>
                      <a:noFill/>
                    </a:ln>
                  </pic:spPr>
                </pic:pic>
              </a:graphicData>
            </a:graphic>
          </wp:inline>
        </w:drawing>
      </w:r>
      <w:r w:rsidR="00BF2E04">
        <w:rPr>
          <w:lang w:val="en-GB"/>
        </w:rPr>
        <w:br w:type="textWrapping" w:clear="all"/>
      </w:r>
    </w:p>
    <w:p w14:paraId="19F3245A" w14:textId="77777777" w:rsidR="00245ECB" w:rsidRPr="00245ECB" w:rsidRDefault="00245ECB" w:rsidP="00D57005">
      <w:pPr>
        <w:ind w:left="141" w:firstLine="1275"/>
        <w:rPr>
          <w:lang w:val="en-GB"/>
        </w:rPr>
      </w:pPr>
      <w:r w:rsidRPr="00245ECB">
        <w:rPr>
          <w:lang w:val="en-GB"/>
        </w:rPr>
        <w:t>Figure 1: Geological map of the Senegalo-Mauritanian sedimentary basin</w:t>
      </w:r>
    </w:p>
    <w:p w14:paraId="4BF81BE7" w14:textId="77777777" w:rsidR="00245ECB" w:rsidRDefault="00245ECB" w:rsidP="002E2314">
      <w:pPr>
        <w:rPr>
          <w:lang w:val="en-GB"/>
        </w:rPr>
      </w:pPr>
    </w:p>
    <w:p w14:paraId="09B08A34" w14:textId="45F7B484" w:rsidR="00245ECB" w:rsidRPr="00245ECB" w:rsidRDefault="00245ECB" w:rsidP="00245ECB">
      <w:pPr>
        <w:rPr>
          <w:lang w:val="en-GB"/>
        </w:rPr>
      </w:pPr>
      <w:r w:rsidRPr="00245ECB">
        <w:rPr>
          <w:lang w:val="en-GB"/>
        </w:rPr>
        <w:t>The SMAB covers an area of 331,450 km2, which include a large portion of the territories of the countries that share it: 100 per cent of Gambia, 37 per cent of Guinea Bissau, 14 per cent of Mauritania and 84 per cent of Senegal. The population is estimated at 11,930,000 inhabitants</w:t>
      </w:r>
      <w:r w:rsidR="000C2B9E">
        <w:rPr>
          <w:lang w:val="en-GB"/>
        </w:rPr>
        <w:t xml:space="preserve"> by </w:t>
      </w:r>
      <w:r w:rsidR="000C2B9E" w:rsidRPr="00245ECB">
        <w:rPr>
          <w:lang w:val="en-GB"/>
        </w:rPr>
        <w:t xml:space="preserve">Altchenko &amp; Villholth </w:t>
      </w:r>
      <w:r w:rsidR="000C2B9E">
        <w:rPr>
          <w:lang w:val="en-GB"/>
        </w:rPr>
        <w:t>(</w:t>
      </w:r>
      <w:r w:rsidR="000C2B9E" w:rsidRPr="00245ECB">
        <w:rPr>
          <w:lang w:val="en-GB"/>
        </w:rPr>
        <w:t>2013)</w:t>
      </w:r>
      <w:r w:rsidRPr="00245ECB">
        <w:rPr>
          <w:lang w:val="en-GB"/>
        </w:rPr>
        <w:t xml:space="preserve">. </w:t>
      </w:r>
    </w:p>
    <w:p w14:paraId="3495C5EF" w14:textId="7DAA42A0" w:rsidR="006B2F39" w:rsidRDefault="00245ECB" w:rsidP="00245ECB">
      <w:pPr>
        <w:rPr>
          <w:lang w:val="en-GB"/>
        </w:rPr>
      </w:pPr>
      <w:r w:rsidRPr="00245ECB">
        <w:rPr>
          <w:lang w:val="en-GB"/>
        </w:rPr>
        <w:t>The basins of both TBOs overlap the SMAB, with the OMVS basin in the centre and that of the OMVG further to the south. They share nearly 50 per cent of their surface area with the SMAB, at 32 per cent and 18 per cent respectively (Figure 2).</w:t>
      </w:r>
    </w:p>
    <w:p w14:paraId="6DE92D06" w14:textId="6D4C0B0D" w:rsidR="00245ECB" w:rsidRDefault="00245ECB" w:rsidP="00D57005">
      <w:pPr>
        <w:jc w:val="center"/>
        <w:rPr>
          <w:lang w:val="en-GB"/>
        </w:rPr>
      </w:pPr>
      <w:r w:rsidRPr="00120701">
        <w:rPr>
          <w:noProof/>
          <w:lang w:eastAsia="fr-CH"/>
        </w:rPr>
        <w:lastRenderedPageBreak/>
        <w:drawing>
          <wp:inline distT="0" distB="0" distL="0" distR="0" wp14:anchorId="3EE1FE53" wp14:editId="7EE67E01">
            <wp:extent cx="4403355" cy="6228715"/>
            <wp:effectExtent l="0" t="0" r="0" b="635"/>
            <wp:docPr id="3" name="Image 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ydrogéologieFini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5248" cy="6231393"/>
                    </a:xfrm>
                    <a:prstGeom prst="rect">
                      <a:avLst/>
                    </a:prstGeom>
                  </pic:spPr>
                </pic:pic>
              </a:graphicData>
            </a:graphic>
          </wp:inline>
        </w:drawing>
      </w:r>
    </w:p>
    <w:p w14:paraId="2B5E424F" w14:textId="77777777" w:rsidR="00245ECB" w:rsidRDefault="00245ECB" w:rsidP="00D57005">
      <w:pPr>
        <w:ind w:left="141" w:firstLine="1275"/>
        <w:rPr>
          <w:lang w:val="en-GB"/>
        </w:rPr>
      </w:pPr>
      <w:r w:rsidRPr="00245ECB">
        <w:rPr>
          <w:lang w:val="en-GB"/>
        </w:rPr>
        <w:t>Figure 2: Hydrogeological map of the SMAB</w:t>
      </w:r>
    </w:p>
    <w:p w14:paraId="1D6162BF" w14:textId="7F4BA4BA" w:rsidR="00245ECB" w:rsidRPr="00245ECB" w:rsidRDefault="00E916B3" w:rsidP="00245ECB">
      <w:pPr>
        <w:pStyle w:val="Heading3"/>
        <w:rPr>
          <w:lang w:val="en-GB"/>
        </w:rPr>
      </w:pPr>
      <w:r w:rsidRPr="00D57005">
        <w:rPr>
          <w:lang w:val="en-GB"/>
        </w:rPr>
        <w:br w:type="column"/>
      </w:r>
      <w:bookmarkStart w:id="8" w:name="_Toc53651756"/>
      <w:r w:rsidR="00245ECB" w:rsidRPr="00120701">
        <w:lastRenderedPageBreak/>
        <w:t>Major aquifer systems</w:t>
      </w:r>
      <w:bookmarkEnd w:id="8"/>
      <w:r w:rsidR="00245ECB" w:rsidRPr="00120701">
        <w:t xml:space="preserve"> </w:t>
      </w:r>
    </w:p>
    <w:p w14:paraId="5CF01BB5" w14:textId="73B3EBF8" w:rsidR="008A6F3E" w:rsidRDefault="00245ECB" w:rsidP="008A6F3E">
      <w:pPr>
        <w:rPr>
          <w:lang w:val="en-GB"/>
        </w:rPr>
      </w:pPr>
      <w:r w:rsidRPr="00245ECB">
        <w:rPr>
          <w:lang w:val="en-GB"/>
        </w:rPr>
        <w:t xml:space="preserve">The SMAB includes several overlapping aquifers between the Senonian (Upper Cretaceous) and Quaternary. They can be grouped into three major aquifer systems, which can generally </w:t>
      </w:r>
      <w:r w:rsidR="008A6F3E">
        <w:rPr>
          <w:lang w:val="en-GB"/>
        </w:rPr>
        <w:t>be found in all aquifer basins.</w:t>
      </w:r>
    </w:p>
    <w:p w14:paraId="3088A7D2" w14:textId="739CAEF0" w:rsidR="00245ECB" w:rsidRPr="008A6F3E" w:rsidRDefault="00245ECB" w:rsidP="00BB319B">
      <w:pPr>
        <w:pStyle w:val="Heading4"/>
        <w:rPr>
          <w:lang w:val="en-GB"/>
        </w:rPr>
      </w:pPr>
      <w:bookmarkStart w:id="9" w:name="_Toc53651757"/>
      <w:r w:rsidRPr="00120701">
        <w:t>The superficial aquifer system</w:t>
      </w:r>
      <w:bookmarkEnd w:id="9"/>
      <w:r w:rsidRPr="00120701">
        <w:t xml:space="preserve"> </w:t>
      </w:r>
    </w:p>
    <w:p w14:paraId="059AEBE6" w14:textId="77777777" w:rsidR="00245ECB" w:rsidRPr="00245ECB" w:rsidRDefault="00245ECB" w:rsidP="00245ECB">
      <w:pPr>
        <w:rPr>
          <w:lang w:val="en-GB"/>
        </w:rPr>
      </w:pPr>
      <w:r w:rsidRPr="00245ECB">
        <w:rPr>
          <w:lang w:val="en-GB"/>
        </w:rPr>
        <w:t xml:space="preserve">In </w:t>
      </w:r>
      <w:r w:rsidRPr="00245ECB">
        <w:rPr>
          <w:b/>
          <w:lang w:val="en-GB"/>
        </w:rPr>
        <w:t>Senegal</w:t>
      </w:r>
      <w:r w:rsidRPr="00245ECB">
        <w:rPr>
          <w:lang w:val="en-GB"/>
        </w:rPr>
        <w:t xml:space="preserve">, this system includes the coastal sand aquifers of the Quaternary between Dakar and Saint Louis, and the alluvial formations of the Senegal River Valley. The thickness of these formations varies widely, from a few metres to several dozen metres. This system also includes the Oligo-Miocene aquifers and those of the Continental Terminal, which are generally hydraulically linked and present similar geological facies. These aquifers are found in the south, east and northeast of the country, extending into Gambia and Guinea Bissau at the southernmost end of the system. </w:t>
      </w:r>
    </w:p>
    <w:p w14:paraId="23588A68" w14:textId="755C77D8" w:rsidR="00245ECB" w:rsidRPr="00245ECB" w:rsidRDefault="00245ECB" w:rsidP="00245ECB">
      <w:pPr>
        <w:rPr>
          <w:lang w:val="en-GB"/>
        </w:rPr>
      </w:pPr>
      <w:bookmarkStart w:id="10" w:name="_Hlk56107106"/>
      <w:r w:rsidRPr="00245ECB">
        <w:rPr>
          <w:lang w:val="en-GB"/>
        </w:rPr>
        <w:t xml:space="preserve">In </w:t>
      </w:r>
      <w:r w:rsidRPr="00245ECB">
        <w:rPr>
          <w:b/>
          <w:lang w:val="en-GB"/>
        </w:rPr>
        <w:t>Gambia</w:t>
      </w:r>
      <w:r w:rsidRPr="00245ECB">
        <w:rPr>
          <w:lang w:val="en-GB"/>
        </w:rPr>
        <w:t>, this system is the “</w:t>
      </w:r>
      <w:r w:rsidRPr="00245ECB">
        <w:rPr>
          <w:i/>
          <w:lang w:val="en-GB"/>
        </w:rPr>
        <w:t xml:space="preserve">Shallow Sand Aquifer </w:t>
      </w:r>
      <w:r w:rsidRPr="00245ECB">
        <w:rPr>
          <w:lang w:val="en-GB"/>
        </w:rPr>
        <w:t xml:space="preserve">(SSA)”, which </w:t>
      </w:r>
      <w:r w:rsidR="008A5229" w:rsidRPr="008A5229">
        <w:rPr>
          <w:lang w:val="en-GB"/>
        </w:rPr>
        <w:t>is of Mio-Pliocene geological age, mainly made of unconsolidated, medium to coarse sand grain and found at 15 to 120 metres depth below the ground level</w:t>
      </w:r>
      <w:r w:rsidR="008A5229">
        <w:rPr>
          <w:lang w:val="en-GB"/>
        </w:rPr>
        <w:t xml:space="preserve">. </w:t>
      </w:r>
      <w:r w:rsidR="008A5229" w:rsidRPr="008A5229">
        <w:rPr>
          <w:lang w:val="en-GB"/>
        </w:rPr>
        <w:t xml:space="preserve">It is further partitioned into the Upper Phreatic Aquifer and a Lower Semi-Confined Aquifer, separated by a </w:t>
      </w:r>
      <w:r w:rsidR="008A5229">
        <w:rPr>
          <w:lang w:val="en-GB"/>
        </w:rPr>
        <w:t>thin</w:t>
      </w:r>
      <w:r w:rsidR="008A5229" w:rsidRPr="008A5229">
        <w:rPr>
          <w:lang w:val="en-GB"/>
        </w:rPr>
        <w:t xml:space="preserve"> clay</w:t>
      </w:r>
      <w:r w:rsidR="008A5229">
        <w:rPr>
          <w:lang w:val="en-GB"/>
        </w:rPr>
        <w:t>ey</w:t>
      </w:r>
      <w:r w:rsidR="008A5229" w:rsidRPr="008A5229">
        <w:rPr>
          <w:lang w:val="en-GB"/>
        </w:rPr>
        <w:t xml:space="preserve">-silt aquitard of 15-30 m thickness </w:t>
      </w:r>
      <w:r w:rsidRPr="00245ECB">
        <w:rPr>
          <w:lang w:val="en-GB"/>
        </w:rPr>
        <w:t xml:space="preserve">  </w:t>
      </w:r>
      <w:r w:rsidR="008A5229" w:rsidRPr="008A5229">
        <w:rPr>
          <w:lang w:val="en-GB"/>
        </w:rPr>
        <w:t xml:space="preserve">Currently, the Gambia abstracts from this aquifer through traditional hand dug wells tapping from the upper phreatic aquifer while boreholes are drilled deeper into the lower semi-confined aquifer </w:t>
      </w:r>
      <w:r w:rsidR="008A5229">
        <w:rPr>
          <w:lang w:val="en-GB"/>
        </w:rPr>
        <w:t>(NIR</w:t>
      </w:r>
      <w:r w:rsidR="00256E50">
        <w:rPr>
          <w:lang w:val="en-GB"/>
        </w:rPr>
        <w:t>V</w:t>
      </w:r>
      <w:r w:rsidR="008A5229">
        <w:rPr>
          <w:lang w:val="en-GB"/>
        </w:rPr>
        <w:t>AS, 2013).</w:t>
      </w:r>
      <w:bookmarkEnd w:id="10"/>
      <w:r w:rsidR="008A5229">
        <w:rPr>
          <w:lang w:val="en-GB"/>
        </w:rPr>
        <w:t xml:space="preserve"> </w:t>
      </w:r>
      <w:r w:rsidRPr="00245ECB">
        <w:rPr>
          <w:lang w:val="en-GB"/>
        </w:rPr>
        <w:t xml:space="preserve">This aquifer system is the main source of drinking water for the capital city of Banjul. The same configuration can be found in </w:t>
      </w:r>
      <w:r w:rsidRPr="00245ECB">
        <w:rPr>
          <w:b/>
          <w:lang w:val="en-GB"/>
        </w:rPr>
        <w:t>Guinea Bissau</w:t>
      </w:r>
      <w:r w:rsidRPr="00245ECB">
        <w:rPr>
          <w:lang w:val="en-GB"/>
        </w:rPr>
        <w:t xml:space="preserve">, where the quaternary Miocene horizons contain groundwater captured between 2 and 20 metres. Oligocene aquifer formations are also present, situated between 80 and 100 metres on the Island of Bubaque, where the groundwater is brackish. In Guinea Bissau, these superficial horizons serve as the main water reservoir for rural populations, through traditional wells or hand pumps. </w:t>
      </w:r>
    </w:p>
    <w:p w14:paraId="5F0EF61B" w14:textId="77777777" w:rsidR="00245ECB" w:rsidRDefault="00245ECB" w:rsidP="00245ECB">
      <w:pPr>
        <w:rPr>
          <w:lang w:val="en-GB"/>
        </w:rPr>
      </w:pPr>
      <w:r w:rsidRPr="00245ECB">
        <w:rPr>
          <w:lang w:val="en-GB"/>
        </w:rPr>
        <w:t xml:space="preserve">The superficial aquifer system is also present further north in </w:t>
      </w:r>
      <w:r w:rsidRPr="00245ECB">
        <w:rPr>
          <w:b/>
          <w:lang w:val="en-GB"/>
        </w:rPr>
        <w:t>Mauritania</w:t>
      </w:r>
      <w:r w:rsidRPr="00245ECB">
        <w:rPr>
          <w:lang w:val="en-GB"/>
        </w:rPr>
        <w:t>, and more specifically in the detrital sediments of the Continental Terminal (measuring 60-150 metres thick), which contains the Trarza aquifer. This is the site of the Idini drilling fields, and a strategic resource that supplies the city of Nouakchott. Further north, the freshwater aquifers in Bennichab, which supply the economic capital of Nouadhibou, and in Boulenoir are also major water resources for Mauritania. Static levels of these aquifers vary between 21 to 39 metres. This system also contains the Amechtil Eocene limestone aquifer, captured by boreholes no deeper than 100 metres, with a flow of up to 10 to 30 m</w:t>
      </w:r>
      <w:r w:rsidRPr="00245ECB">
        <w:rPr>
          <w:vertAlign w:val="superscript"/>
          <w:lang w:val="en-GB"/>
        </w:rPr>
        <w:t>3</w:t>
      </w:r>
      <w:r w:rsidRPr="00245ECB">
        <w:rPr>
          <w:lang w:val="en-GB"/>
        </w:rPr>
        <w:t xml:space="preserve">/h. The same is true of the Brakna aquifer, which is made of Middle Eocene sands, and located along the sedimentary basin in eastern Mauritania and captured by pumps at 20-30 metres deep. </w:t>
      </w:r>
    </w:p>
    <w:p w14:paraId="7EE42876" w14:textId="31FEF8C3" w:rsidR="00245ECB" w:rsidRPr="00245ECB" w:rsidRDefault="00245ECB" w:rsidP="00BB319B">
      <w:pPr>
        <w:pStyle w:val="Heading4"/>
        <w:rPr>
          <w:lang w:val="en-GB"/>
        </w:rPr>
      </w:pPr>
      <w:bookmarkStart w:id="11" w:name="_Toc53651758"/>
      <w:r w:rsidRPr="00245ECB">
        <w:rPr>
          <w:lang w:val="en-GB"/>
        </w:rPr>
        <w:t>The semi-deep aquifer system</w:t>
      </w:r>
      <w:bookmarkEnd w:id="11"/>
      <w:r w:rsidRPr="00245ECB">
        <w:rPr>
          <w:lang w:val="en-GB"/>
        </w:rPr>
        <w:t xml:space="preserve"> </w:t>
      </w:r>
    </w:p>
    <w:p w14:paraId="11F138B9" w14:textId="77777777" w:rsidR="00245ECB" w:rsidRPr="00245ECB" w:rsidRDefault="00245ECB" w:rsidP="00245ECB">
      <w:pPr>
        <w:rPr>
          <w:lang w:val="en-GB"/>
        </w:rPr>
      </w:pPr>
      <w:r w:rsidRPr="00245ECB">
        <w:rPr>
          <w:lang w:val="en-GB"/>
        </w:rPr>
        <w:t xml:space="preserve">In </w:t>
      </w:r>
      <w:r w:rsidRPr="00245ECB">
        <w:rPr>
          <w:b/>
          <w:lang w:val="en-GB"/>
        </w:rPr>
        <w:t>Senegal</w:t>
      </w:r>
      <w:r w:rsidRPr="00245ECB">
        <w:rPr>
          <w:lang w:val="en-GB"/>
        </w:rPr>
        <w:t>, this system includes Eocene and Paleocene marly limestone. These formations only present interesting hydrogeological features in parts that have undergone a karstification phenomenon, for example, in the Diass horst zone, where the limestone formations rest on the Maastrichtian formations. The two aquifers are hydraulically linked, and together contain large quantities of water that supply the Dakar region.</w:t>
      </w:r>
    </w:p>
    <w:p w14:paraId="482CB755" w14:textId="77777777" w:rsidR="008A6F3E" w:rsidRDefault="00245ECB" w:rsidP="008A6F3E">
      <w:pPr>
        <w:rPr>
          <w:lang w:val="en-GB"/>
        </w:rPr>
      </w:pPr>
      <w:r w:rsidRPr="00245ECB">
        <w:rPr>
          <w:lang w:val="en-GB"/>
        </w:rPr>
        <w:t>In other countries, the semi-deep Paleo-Eocene limestone formations in the SMAB do not appear to present intere</w:t>
      </w:r>
      <w:r w:rsidR="008A6F3E">
        <w:rPr>
          <w:lang w:val="en-GB"/>
        </w:rPr>
        <w:t>sting hydrogeological features.</w:t>
      </w:r>
    </w:p>
    <w:p w14:paraId="6C5F0D78" w14:textId="55A707E9" w:rsidR="00245ECB" w:rsidRPr="008A6F3E" w:rsidRDefault="00245ECB" w:rsidP="00BB319B">
      <w:pPr>
        <w:pStyle w:val="Heading4"/>
        <w:rPr>
          <w:lang w:val="en-GB"/>
        </w:rPr>
      </w:pPr>
      <w:bookmarkStart w:id="12" w:name="_Toc53651759"/>
      <w:r w:rsidRPr="00120701">
        <w:t>The deep aquifer system</w:t>
      </w:r>
      <w:bookmarkEnd w:id="12"/>
      <w:r w:rsidRPr="00120701">
        <w:t xml:space="preserve"> </w:t>
      </w:r>
    </w:p>
    <w:p w14:paraId="1594AD4E" w14:textId="77777777" w:rsidR="00245ECB" w:rsidRPr="00245ECB" w:rsidRDefault="00245ECB" w:rsidP="00245ECB">
      <w:pPr>
        <w:rPr>
          <w:lang w:val="en-GB"/>
        </w:rPr>
      </w:pPr>
      <w:r w:rsidRPr="00245ECB">
        <w:rPr>
          <w:lang w:val="en-GB"/>
        </w:rPr>
        <w:t xml:space="preserve">This system includes the so-called Maastrichtian aquifer, which extends over the entire sedimentary Senegalo-Mauritanian Basin, at a depth of 25-500 metres. The aquifer has shown high to very high productivity in the central, north and south basin, and average productivity in the east and west. It is captured by boreholes (over 830 boreholes are currently listed) in </w:t>
      </w:r>
      <w:r w:rsidRPr="00245ECB">
        <w:rPr>
          <w:b/>
          <w:lang w:val="en-GB"/>
        </w:rPr>
        <w:t>Senegal</w:t>
      </w:r>
      <w:r w:rsidRPr="00245ECB">
        <w:rPr>
          <w:lang w:val="en-GB"/>
        </w:rPr>
        <w:t xml:space="preserve">, according to the DGPRE. For example, the drilling fields are built in the Diass horst zone, where the aquifer rises to the surface, and capture the Maastrichtian groundwater or that of the Paleocene aquifer connected to it. Together, they supply a large portion of Dakar’s water. </w:t>
      </w:r>
    </w:p>
    <w:p w14:paraId="03C954CB" w14:textId="29504281" w:rsidR="00245ECB" w:rsidRPr="00245ECB" w:rsidRDefault="00245ECB" w:rsidP="00245ECB">
      <w:pPr>
        <w:rPr>
          <w:i/>
          <w:lang w:val="en-GB"/>
        </w:rPr>
      </w:pPr>
      <w:r w:rsidRPr="00245ECB">
        <w:rPr>
          <w:lang w:val="en-GB"/>
        </w:rPr>
        <w:t xml:space="preserve">In </w:t>
      </w:r>
      <w:r w:rsidRPr="00245ECB">
        <w:rPr>
          <w:b/>
          <w:lang w:val="en-GB"/>
        </w:rPr>
        <w:t>Gambia</w:t>
      </w:r>
      <w:r w:rsidRPr="00245ECB">
        <w:rPr>
          <w:lang w:val="en-GB"/>
        </w:rPr>
        <w:t xml:space="preserve">, this is known as the </w:t>
      </w:r>
      <w:r w:rsidRPr="00245ECB">
        <w:rPr>
          <w:rFonts w:cstheme="minorHAnsi"/>
          <w:lang w:val="en-GB"/>
        </w:rPr>
        <w:t>‟</w:t>
      </w:r>
      <w:r w:rsidRPr="00245ECB">
        <w:rPr>
          <w:rFonts w:cstheme="minorHAnsi"/>
          <w:i/>
          <w:iCs/>
          <w:lang w:val="en-GB"/>
        </w:rPr>
        <w:t>Deep Sandstone Aquifer (DSA)</w:t>
      </w:r>
      <w:r w:rsidRPr="00245ECB">
        <w:rPr>
          <w:rFonts w:cstheme="minorHAnsi"/>
          <w:lang w:val="en-GB"/>
        </w:rPr>
        <w:t>”, which mainly includes poorly consolidated sand and sandstone buried at 250 to 450 metres deep. This aquifer is largely undeveloped</w:t>
      </w:r>
      <w:r w:rsidR="008B68D4">
        <w:rPr>
          <w:rFonts w:cstheme="minorHAnsi"/>
          <w:lang w:val="en-GB"/>
        </w:rPr>
        <w:t xml:space="preserve"> with only three exploratory boreholes in the East, Central and Western part of the</w:t>
      </w:r>
      <w:r w:rsidRPr="00245ECB">
        <w:rPr>
          <w:rFonts w:cstheme="minorHAnsi"/>
          <w:lang w:val="en-GB"/>
        </w:rPr>
        <w:t xml:space="preserve"> </w:t>
      </w:r>
      <w:r w:rsidRPr="00245ECB">
        <w:rPr>
          <w:rFonts w:cstheme="minorHAnsi"/>
          <w:b/>
          <w:lang w:val="en-GB"/>
        </w:rPr>
        <w:t>Gambia</w:t>
      </w:r>
      <w:r w:rsidRPr="00245ECB">
        <w:rPr>
          <w:rFonts w:cstheme="minorHAnsi"/>
          <w:lang w:val="en-GB"/>
        </w:rPr>
        <w:t xml:space="preserve">, </w:t>
      </w:r>
      <w:r w:rsidR="00796FA9">
        <w:rPr>
          <w:rFonts w:cstheme="minorHAnsi"/>
          <w:lang w:val="en-GB"/>
        </w:rPr>
        <w:t>and thus</w:t>
      </w:r>
      <w:r w:rsidRPr="00245ECB">
        <w:rPr>
          <w:rFonts w:cstheme="minorHAnsi"/>
          <w:lang w:val="en-GB"/>
        </w:rPr>
        <w:t xml:space="preserve"> generally uses the superficial aquifer system groundwater to satisfy its drinking water needs. In </w:t>
      </w:r>
      <w:r w:rsidRPr="00245ECB">
        <w:rPr>
          <w:rFonts w:cstheme="minorHAnsi"/>
          <w:b/>
          <w:lang w:val="en-GB"/>
        </w:rPr>
        <w:t>Mauritania</w:t>
      </w:r>
      <w:r w:rsidRPr="00245ECB">
        <w:rPr>
          <w:rFonts w:cstheme="minorHAnsi"/>
          <w:lang w:val="en-GB"/>
        </w:rPr>
        <w:t xml:space="preserve"> as well, the Maastrichtian aquifer’s hydrogeological potential is untapped, as the water quality is poor (due to high salinity) and would not be productive (due to low hydraulic conductivity due to the higher levels of clay).   </w:t>
      </w:r>
    </w:p>
    <w:p w14:paraId="7E6062E5" w14:textId="228B7EC9" w:rsidR="008A6F3E" w:rsidRDefault="00245ECB" w:rsidP="008A6F3E">
      <w:pPr>
        <w:rPr>
          <w:lang w:val="en-GB"/>
        </w:rPr>
      </w:pPr>
      <w:r w:rsidRPr="00245ECB">
        <w:rPr>
          <w:lang w:val="en-GB"/>
        </w:rPr>
        <w:t xml:space="preserve">In </w:t>
      </w:r>
      <w:r w:rsidRPr="00245ECB">
        <w:rPr>
          <w:b/>
          <w:lang w:val="en-GB"/>
        </w:rPr>
        <w:t>Guinea Bissau</w:t>
      </w:r>
      <w:r w:rsidRPr="00245ECB">
        <w:rPr>
          <w:lang w:val="en-GB"/>
        </w:rPr>
        <w:t>, however, which forms the southern border of the SMAB, the Maastrichtian aquifer system plays a major role, with a thickness reaching over 500 metres. It is homogenous and powerful, comprised of detrital formations, and Guinea Bissau’s most productive aquifer. It extends over several regions including that of Bissau. To the east, the aquifer rises to the surface, on the edge of the Paleozoic bedrock. This is Bissau’s main water source, and in the capital region, water is captured by both public and private boreholes at 200 to 250 metres deep, with flows of over 100 m</w:t>
      </w:r>
      <w:r w:rsidRPr="00245ECB">
        <w:rPr>
          <w:vertAlign w:val="superscript"/>
          <w:lang w:val="en-GB"/>
        </w:rPr>
        <w:t>3</w:t>
      </w:r>
      <w:r w:rsidR="008A6F3E">
        <w:rPr>
          <w:lang w:val="en-GB"/>
        </w:rPr>
        <w:t>/h.</w:t>
      </w:r>
    </w:p>
    <w:p w14:paraId="27EF3933" w14:textId="63278684" w:rsidR="00245ECB" w:rsidRPr="00245ECB" w:rsidRDefault="00245ECB" w:rsidP="008A6F3E">
      <w:pPr>
        <w:pStyle w:val="Heading3"/>
        <w:rPr>
          <w:lang w:val="en-GB"/>
        </w:rPr>
      </w:pPr>
      <w:bookmarkStart w:id="13" w:name="_Toc53651760"/>
      <w:r w:rsidRPr="00245ECB">
        <w:rPr>
          <w:lang w:val="en-GB"/>
        </w:rPr>
        <w:t>Potential and recharge of the SAMB aquifers</w:t>
      </w:r>
      <w:bookmarkEnd w:id="13"/>
    </w:p>
    <w:p w14:paraId="2487C318" w14:textId="77777777" w:rsidR="00BB319B" w:rsidRDefault="00245ECB" w:rsidP="00BB319B">
      <w:pPr>
        <w:rPr>
          <w:lang w:val="en-GB"/>
        </w:rPr>
      </w:pPr>
      <w:r w:rsidRPr="00245ECB">
        <w:rPr>
          <w:lang w:val="en-GB"/>
        </w:rPr>
        <w:t xml:space="preserve">In </w:t>
      </w:r>
      <w:r w:rsidRPr="00245ECB">
        <w:rPr>
          <w:b/>
          <w:lang w:val="en-GB"/>
        </w:rPr>
        <w:t>Senegal</w:t>
      </w:r>
      <w:r w:rsidRPr="00245ECB">
        <w:rPr>
          <w:lang w:val="en-GB"/>
        </w:rPr>
        <w:t xml:space="preserve">, the </w:t>
      </w:r>
      <w:r w:rsidRPr="00245ECB">
        <w:rPr>
          <w:b/>
          <w:lang w:val="en-GB"/>
        </w:rPr>
        <w:t>Maastrichtian</w:t>
      </w:r>
      <w:r w:rsidRPr="00245ECB">
        <w:rPr>
          <w:lang w:val="en-GB"/>
        </w:rPr>
        <w:t xml:space="preserve"> aquifer represents the country’s main source of groundwater supply. The Maastrichtian aquifer layer in Senegal is a major reservoir, with reserves estimated at between 300 and 400 billion m³, and accounts for 40 per cent of Senegal’s sedimentary basin aquifer collections. The situation is very similar in </w:t>
      </w:r>
      <w:r w:rsidRPr="00245ECB">
        <w:rPr>
          <w:b/>
          <w:lang w:val="en-GB"/>
        </w:rPr>
        <w:t>Guinea Bissau</w:t>
      </w:r>
      <w:r w:rsidRPr="00245ECB">
        <w:rPr>
          <w:lang w:val="en-GB"/>
        </w:rPr>
        <w:t xml:space="preserve">, where the deep aquifer is the main source of water in the Bissau region. Here, reserves are still unknown, due to a lack of updated data and information (Joseph and Lasry, 2012). The situation is somewhat different in </w:t>
      </w:r>
      <w:r w:rsidRPr="00245ECB">
        <w:rPr>
          <w:b/>
          <w:lang w:val="en-GB"/>
        </w:rPr>
        <w:t>Mauritania</w:t>
      </w:r>
      <w:r w:rsidRPr="00245ECB">
        <w:rPr>
          <w:lang w:val="en-GB"/>
        </w:rPr>
        <w:t xml:space="preserve"> and </w:t>
      </w:r>
      <w:r w:rsidRPr="00245ECB">
        <w:rPr>
          <w:b/>
          <w:lang w:val="en-GB"/>
        </w:rPr>
        <w:t>Gambia</w:t>
      </w:r>
      <w:r w:rsidRPr="00245ECB">
        <w:rPr>
          <w:lang w:val="en-GB"/>
        </w:rPr>
        <w:t xml:space="preserve">, where the deep aquifer is not in demand. According to literature, Gambia meets all of its drinking water needs using water from its superficial aquifer system. In </w:t>
      </w:r>
      <w:r w:rsidRPr="00245ECB">
        <w:rPr>
          <w:b/>
          <w:lang w:val="en-GB"/>
        </w:rPr>
        <w:t>Mauritania</w:t>
      </w:r>
      <w:r w:rsidRPr="00245ECB">
        <w:rPr>
          <w:lang w:val="en-GB"/>
        </w:rPr>
        <w:t>, the superficial aquifer system reserve containing the Trarza, Boulenoir and Benichab aquifers is estimated at between 50 and 120 billion m</w:t>
      </w:r>
      <w:r w:rsidR="00BB319B">
        <w:rPr>
          <w:vertAlign w:val="superscript"/>
          <w:lang w:val="en-GB"/>
        </w:rPr>
        <w:t>3</w:t>
      </w:r>
      <w:r w:rsidR="00BB319B">
        <w:rPr>
          <w:lang w:val="en-GB"/>
        </w:rPr>
        <w:t>.</w:t>
      </w:r>
    </w:p>
    <w:p w14:paraId="55E5C000" w14:textId="77777777" w:rsidR="00BB319B" w:rsidRDefault="00BB319B" w:rsidP="00BB319B">
      <w:pPr>
        <w:rPr>
          <w:lang w:val="en-GB"/>
        </w:rPr>
      </w:pPr>
    </w:p>
    <w:p w14:paraId="7A23DA96" w14:textId="72698A26" w:rsidR="00245ECB" w:rsidRPr="00245ECB" w:rsidRDefault="00245ECB" w:rsidP="00BB319B">
      <w:pPr>
        <w:rPr>
          <w:lang w:val="en-GB"/>
        </w:rPr>
      </w:pPr>
      <w:r w:rsidRPr="00245ECB">
        <w:rPr>
          <w:lang w:val="en-GB"/>
        </w:rPr>
        <w:t>Table 1: Estimated aquifer systems reserves in SMAB countries (billions m</w:t>
      </w:r>
      <w:r w:rsidRPr="00245ECB">
        <w:rPr>
          <w:vertAlign w:val="superscript"/>
          <w:lang w:val="en-GB"/>
        </w:rPr>
        <w:t>3</w:t>
      </w:r>
      <w:r w:rsidRPr="00245ECB">
        <w:rPr>
          <w:lang w:val="en-GB"/>
        </w:rPr>
        <w:t>)</w:t>
      </w:r>
    </w:p>
    <w:tbl>
      <w:tblPr>
        <w:tblStyle w:val="MediumList2-Accent1"/>
        <w:tblW w:w="3373" w:type="pct"/>
        <w:jc w:val="center"/>
        <w:tblLook w:val="04A0" w:firstRow="1" w:lastRow="0" w:firstColumn="1" w:lastColumn="0" w:noHBand="0" w:noVBand="1"/>
      </w:tblPr>
      <w:tblGrid>
        <w:gridCol w:w="1582"/>
        <w:gridCol w:w="1640"/>
        <w:gridCol w:w="1640"/>
        <w:gridCol w:w="1641"/>
      </w:tblGrid>
      <w:tr w:rsidR="00245ECB" w:rsidRPr="00245ECB" w14:paraId="3C302BF6" w14:textId="77777777" w:rsidTr="00245EC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16" w:type="pct"/>
            <w:shd w:val="clear" w:color="auto" w:fill="BDD6EE"/>
            <w:noWrap/>
          </w:tcPr>
          <w:p w14:paraId="7B755EA9" w14:textId="77777777" w:rsidR="00245ECB" w:rsidRPr="00245ECB" w:rsidRDefault="00245ECB" w:rsidP="00245ECB">
            <w:pPr>
              <w:spacing w:before="0" w:after="0"/>
              <w:ind w:left="0"/>
              <w:jc w:val="left"/>
              <w:rPr>
                <w:rFonts w:ascii="Calibri" w:eastAsia="SimSun" w:hAnsi="Calibri" w:cs="Arial"/>
                <w:b/>
                <w:bCs/>
                <w:color w:val="2E74B5"/>
                <w:szCs w:val="22"/>
                <w:lang w:val="en-US" w:eastAsia="fr-SN"/>
              </w:rPr>
            </w:pPr>
            <w:r w:rsidRPr="00245ECB">
              <w:rPr>
                <w:rFonts w:ascii="Calibri" w:eastAsia="SimSun" w:hAnsi="Calibri" w:cs="Arial"/>
                <w:b/>
                <w:bCs/>
                <w:color w:val="2E74B5"/>
                <w:szCs w:val="22"/>
                <w:lang w:val="en-US" w:eastAsia="fr-SN"/>
              </w:rPr>
              <w:t>Country</w:t>
            </w:r>
          </w:p>
        </w:tc>
        <w:tc>
          <w:tcPr>
            <w:tcW w:w="1261" w:type="pct"/>
            <w:shd w:val="clear" w:color="auto" w:fill="BDD6EE"/>
          </w:tcPr>
          <w:p w14:paraId="60BD63A4" w14:textId="77777777" w:rsidR="00245ECB" w:rsidRPr="00245ECB" w:rsidRDefault="00245ECB" w:rsidP="00245ECB">
            <w:pPr>
              <w:spacing w:before="0" w:after="0"/>
              <w:ind w:left="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Arial"/>
                <w:b/>
                <w:bCs/>
                <w:color w:val="2E74B5"/>
                <w:szCs w:val="22"/>
                <w:lang w:val="en-US" w:eastAsia="fr-SN"/>
              </w:rPr>
            </w:pPr>
            <w:r w:rsidRPr="00245ECB">
              <w:rPr>
                <w:rFonts w:ascii="Calibri" w:eastAsia="SimSun" w:hAnsi="Calibri" w:cs="Arial"/>
                <w:b/>
                <w:bCs/>
                <w:color w:val="2E74B5"/>
                <w:szCs w:val="22"/>
                <w:lang w:val="en-US" w:eastAsia="fr-SN"/>
              </w:rPr>
              <w:t>Superficial system</w:t>
            </w:r>
          </w:p>
        </w:tc>
        <w:tc>
          <w:tcPr>
            <w:tcW w:w="1261" w:type="pct"/>
            <w:shd w:val="clear" w:color="auto" w:fill="BDD6EE"/>
          </w:tcPr>
          <w:p w14:paraId="5CA47A4B" w14:textId="77777777" w:rsidR="00245ECB" w:rsidRPr="00245ECB" w:rsidRDefault="00245ECB" w:rsidP="00245ECB">
            <w:pPr>
              <w:spacing w:before="0" w:after="0"/>
              <w:ind w:left="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Arial"/>
                <w:b/>
                <w:bCs/>
                <w:color w:val="2E74B5"/>
                <w:szCs w:val="22"/>
                <w:lang w:val="en-US" w:eastAsia="fr-SN"/>
              </w:rPr>
            </w:pPr>
            <w:r w:rsidRPr="00245ECB">
              <w:rPr>
                <w:rFonts w:ascii="Calibri" w:eastAsia="SimSun" w:hAnsi="Calibri" w:cs="Arial"/>
                <w:b/>
                <w:bCs/>
                <w:color w:val="2E74B5"/>
                <w:szCs w:val="22"/>
                <w:lang w:val="en-US" w:eastAsia="fr-SN"/>
              </w:rPr>
              <w:t xml:space="preserve">Semi-deep system </w:t>
            </w:r>
          </w:p>
        </w:tc>
        <w:tc>
          <w:tcPr>
            <w:tcW w:w="1262" w:type="pct"/>
            <w:shd w:val="clear" w:color="auto" w:fill="BDD6EE"/>
          </w:tcPr>
          <w:p w14:paraId="2CF488C8" w14:textId="77777777" w:rsidR="00245ECB" w:rsidRPr="00245ECB" w:rsidRDefault="00245ECB" w:rsidP="00245ECB">
            <w:pPr>
              <w:spacing w:before="0" w:after="0"/>
              <w:ind w:left="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Arial"/>
                <w:b/>
                <w:bCs/>
                <w:color w:val="2E74B5"/>
                <w:szCs w:val="22"/>
                <w:lang w:val="en-US" w:eastAsia="fr-SN"/>
              </w:rPr>
            </w:pPr>
            <w:r w:rsidRPr="00245ECB">
              <w:rPr>
                <w:rFonts w:ascii="Calibri" w:eastAsia="SimSun" w:hAnsi="Calibri" w:cs="Arial"/>
                <w:b/>
                <w:bCs/>
                <w:color w:val="2E74B5"/>
                <w:szCs w:val="22"/>
                <w:lang w:val="en-US" w:eastAsia="fr-SN"/>
              </w:rPr>
              <w:t>Deep system</w:t>
            </w:r>
          </w:p>
        </w:tc>
      </w:tr>
      <w:tr w:rsidR="00245ECB" w:rsidRPr="00245ECB" w14:paraId="24CAACBB" w14:textId="77777777" w:rsidTr="00245E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6" w:type="pct"/>
            <w:noWrap/>
          </w:tcPr>
          <w:p w14:paraId="1F1344E6" w14:textId="77777777" w:rsidR="00245ECB" w:rsidRPr="00245ECB" w:rsidRDefault="00245ECB" w:rsidP="00245ECB">
            <w:pPr>
              <w:spacing w:before="0" w:after="0"/>
              <w:ind w:left="0"/>
              <w:jc w:val="left"/>
              <w:rPr>
                <w:rFonts w:ascii="Calibri" w:eastAsia="SimSun" w:hAnsi="Calibri" w:cs="Arial"/>
                <w:b/>
                <w:bCs/>
                <w:szCs w:val="22"/>
                <w:lang w:val="en-US" w:eastAsia="fr-SN"/>
              </w:rPr>
            </w:pPr>
            <w:r w:rsidRPr="00245ECB">
              <w:rPr>
                <w:rFonts w:ascii="Calibri" w:eastAsia="SimSun" w:hAnsi="Calibri" w:cs="Arial"/>
                <w:b/>
                <w:bCs/>
                <w:szCs w:val="22"/>
                <w:lang w:val="en-US" w:eastAsia="fr-SN"/>
              </w:rPr>
              <w:t>Gambia</w:t>
            </w:r>
          </w:p>
        </w:tc>
        <w:tc>
          <w:tcPr>
            <w:tcW w:w="1261" w:type="pct"/>
          </w:tcPr>
          <w:p w14:paraId="4146FECD" w14:textId="77777777" w:rsidR="00245ECB" w:rsidRPr="00245ECB" w:rsidRDefault="00245ECB" w:rsidP="00245EC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Arial"/>
                <w:szCs w:val="22"/>
                <w:lang w:val="en-US" w:eastAsia="fr-SN"/>
              </w:rPr>
            </w:pPr>
            <w:r w:rsidRPr="00245ECB">
              <w:rPr>
                <w:rFonts w:ascii="Calibri" w:eastAsia="SimSun" w:hAnsi="Calibri" w:cs="Arial"/>
                <w:szCs w:val="22"/>
                <w:lang w:val="en-US" w:eastAsia="fr-SN"/>
              </w:rPr>
              <w:t>36</w:t>
            </w:r>
          </w:p>
        </w:tc>
        <w:tc>
          <w:tcPr>
            <w:tcW w:w="1261" w:type="pct"/>
          </w:tcPr>
          <w:p w14:paraId="5BA9D0BE" w14:textId="77777777" w:rsidR="00245ECB" w:rsidRPr="00245ECB" w:rsidRDefault="00245ECB" w:rsidP="00245EC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Arial"/>
                <w:szCs w:val="22"/>
                <w:lang w:val="en-US" w:eastAsia="fr-SN"/>
              </w:rPr>
            </w:pPr>
            <w:r w:rsidRPr="00245ECB">
              <w:rPr>
                <w:rFonts w:ascii="Calibri" w:eastAsia="SimSun" w:hAnsi="Calibri" w:cs="Arial"/>
                <w:szCs w:val="22"/>
                <w:lang w:val="en-US" w:eastAsia="fr-SN"/>
              </w:rPr>
              <w:t>-</w:t>
            </w:r>
          </w:p>
        </w:tc>
        <w:tc>
          <w:tcPr>
            <w:tcW w:w="1262" w:type="pct"/>
          </w:tcPr>
          <w:p w14:paraId="1CB9F3CC" w14:textId="77777777" w:rsidR="00245ECB" w:rsidRPr="00245ECB" w:rsidRDefault="00245ECB" w:rsidP="00245EC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Arial"/>
                <w:szCs w:val="22"/>
                <w:lang w:val="en-US" w:eastAsia="fr-SN"/>
              </w:rPr>
            </w:pPr>
            <w:r w:rsidRPr="00245ECB">
              <w:rPr>
                <w:rFonts w:ascii="Calibri" w:eastAsia="SimSun" w:hAnsi="Calibri" w:cs="Arial"/>
                <w:szCs w:val="22"/>
                <w:lang w:val="en-US" w:eastAsia="fr-SN"/>
              </w:rPr>
              <w:t>-</w:t>
            </w:r>
          </w:p>
        </w:tc>
      </w:tr>
      <w:tr w:rsidR="00245ECB" w:rsidRPr="00245ECB" w14:paraId="237062BD" w14:textId="77777777" w:rsidTr="00245ECB">
        <w:trPr>
          <w:jc w:val="center"/>
        </w:trPr>
        <w:tc>
          <w:tcPr>
            <w:cnfStyle w:val="001000000000" w:firstRow="0" w:lastRow="0" w:firstColumn="1" w:lastColumn="0" w:oddVBand="0" w:evenVBand="0" w:oddHBand="0" w:evenHBand="0" w:firstRowFirstColumn="0" w:firstRowLastColumn="0" w:lastRowFirstColumn="0" w:lastRowLastColumn="0"/>
            <w:tcW w:w="1216" w:type="pct"/>
            <w:noWrap/>
          </w:tcPr>
          <w:p w14:paraId="0E5150B0" w14:textId="77777777" w:rsidR="00245ECB" w:rsidRPr="00245ECB" w:rsidRDefault="00245ECB" w:rsidP="00245ECB">
            <w:pPr>
              <w:spacing w:before="0" w:after="0"/>
              <w:ind w:left="0"/>
              <w:jc w:val="left"/>
              <w:rPr>
                <w:rFonts w:ascii="Calibri" w:eastAsia="SimSun" w:hAnsi="Calibri" w:cs="Arial"/>
                <w:b/>
                <w:bCs/>
                <w:szCs w:val="22"/>
                <w:lang w:val="en-US" w:eastAsia="fr-SN"/>
              </w:rPr>
            </w:pPr>
            <w:r w:rsidRPr="00245ECB">
              <w:rPr>
                <w:rFonts w:ascii="Calibri" w:eastAsia="SimSun" w:hAnsi="Calibri" w:cs="Arial"/>
                <w:b/>
                <w:bCs/>
                <w:szCs w:val="22"/>
                <w:lang w:val="en-US" w:eastAsia="fr-SN"/>
              </w:rPr>
              <w:t>Guinea Bissau</w:t>
            </w:r>
          </w:p>
        </w:tc>
        <w:tc>
          <w:tcPr>
            <w:tcW w:w="1261" w:type="pct"/>
          </w:tcPr>
          <w:p w14:paraId="60911FBD" w14:textId="77777777" w:rsidR="00245ECB" w:rsidRPr="00245ECB" w:rsidRDefault="00245ECB" w:rsidP="00245EC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Arial"/>
                <w:szCs w:val="22"/>
                <w:lang w:val="en-US" w:eastAsia="fr-SN"/>
              </w:rPr>
            </w:pPr>
            <w:r w:rsidRPr="00245ECB">
              <w:rPr>
                <w:rFonts w:ascii="Calibri" w:eastAsia="SimSun" w:hAnsi="Calibri" w:cs="Arial"/>
                <w:szCs w:val="22"/>
                <w:lang w:val="en-US" w:eastAsia="fr-SN"/>
              </w:rPr>
              <w:t>-</w:t>
            </w:r>
          </w:p>
        </w:tc>
        <w:tc>
          <w:tcPr>
            <w:tcW w:w="1261" w:type="pct"/>
          </w:tcPr>
          <w:p w14:paraId="3A7B9184" w14:textId="77777777" w:rsidR="00245ECB" w:rsidRPr="00245ECB" w:rsidRDefault="00245ECB" w:rsidP="00245EC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Arial"/>
                <w:szCs w:val="22"/>
                <w:lang w:val="en-US" w:eastAsia="fr-SN"/>
              </w:rPr>
            </w:pPr>
            <w:r w:rsidRPr="00245ECB">
              <w:rPr>
                <w:rFonts w:ascii="Calibri" w:eastAsia="SimSun" w:hAnsi="Calibri" w:cs="Arial"/>
                <w:szCs w:val="22"/>
                <w:lang w:val="en-US" w:eastAsia="fr-SN"/>
              </w:rPr>
              <w:t>-</w:t>
            </w:r>
          </w:p>
        </w:tc>
        <w:tc>
          <w:tcPr>
            <w:tcW w:w="1262" w:type="pct"/>
          </w:tcPr>
          <w:p w14:paraId="318A5876" w14:textId="77777777" w:rsidR="00245ECB" w:rsidRPr="00245ECB" w:rsidRDefault="00245ECB" w:rsidP="00245EC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Arial"/>
                <w:szCs w:val="22"/>
                <w:lang w:val="en-US" w:eastAsia="fr-SN"/>
              </w:rPr>
            </w:pPr>
            <w:r w:rsidRPr="00245ECB">
              <w:rPr>
                <w:rFonts w:ascii="Calibri Light" w:eastAsia="SimSun" w:hAnsi="Calibri Light"/>
                <w:color w:val="000000"/>
                <w:szCs w:val="22"/>
                <w:lang w:val="en-US" w:eastAsia="fr-SN"/>
              </w:rPr>
              <w:t>-</w:t>
            </w:r>
          </w:p>
        </w:tc>
      </w:tr>
      <w:tr w:rsidR="00245ECB" w:rsidRPr="00245ECB" w14:paraId="1B457DFF" w14:textId="77777777" w:rsidTr="00245E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6" w:type="pct"/>
            <w:noWrap/>
          </w:tcPr>
          <w:p w14:paraId="2988A528" w14:textId="77777777" w:rsidR="00245ECB" w:rsidRPr="00245ECB" w:rsidRDefault="00245ECB" w:rsidP="00245ECB">
            <w:pPr>
              <w:spacing w:before="0" w:after="0"/>
              <w:ind w:left="0"/>
              <w:jc w:val="left"/>
              <w:rPr>
                <w:rFonts w:ascii="Calibri" w:eastAsia="SimSun" w:hAnsi="Calibri" w:cs="Arial"/>
                <w:b/>
                <w:bCs/>
                <w:szCs w:val="22"/>
                <w:lang w:val="en-US" w:eastAsia="fr-SN"/>
              </w:rPr>
            </w:pPr>
            <w:r w:rsidRPr="00245ECB">
              <w:rPr>
                <w:rFonts w:ascii="Calibri" w:eastAsia="SimSun" w:hAnsi="Calibri" w:cs="Arial"/>
                <w:b/>
                <w:bCs/>
                <w:szCs w:val="22"/>
                <w:lang w:val="en-US" w:eastAsia="fr-SN"/>
              </w:rPr>
              <w:t>Mauritania</w:t>
            </w:r>
          </w:p>
        </w:tc>
        <w:tc>
          <w:tcPr>
            <w:tcW w:w="1261" w:type="pct"/>
          </w:tcPr>
          <w:p w14:paraId="7A34C7B8" w14:textId="77777777" w:rsidR="00245ECB" w:rsidRPr="00245ECB" w:rsidRDefault="00245ECB" w:rsidP="00245EC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Arial"/>
                <w:szCs w:val="22"/>
                <w:lang w:val="en-US" w:eastAsia="fr-SN"/>
              </w:rPr>
            </w:pPr>
            <w:r w:rsidRPr="00245ECB">
              <w:rPr>
                <w:rFonts w:ascii="Calibri" w:eastAsia="SimSun" w:hAnsi="Calibri" w:cs="Arial"/>
                <w:szCs w:val="22"/>
                <w:lang w:val="en-US" w:eastAsia="fr-SN"/>
              </w:rPr>
              <w:t>50 - 120</w:t>
            </w:r>
          </w:p>
        </w:tc>
        <w:tc>
          <w:tcPr>
            <w:tcW w:w="1261" w:type="pct"/>
          </w:tcPr>
          <w:p w14:paraId="55DED607" w14:textId="77777777" w:rsidR="00245ECB" w:rsidRPr="00245ECB" w:rsidRDefault="00245ECB" w:rsidP="00245EC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Arial"/>
                <w:szCs w:val="22"/>
                <w:lang w:val="en-US" w:eastAsia="fr-SN"/>
              </w:rPr>
            </w:pPr>
            <w:r w:rsidRPr="00245ECB">
              <w:rPr>
                <w:rFonts w:ascii="Calibri" w:eastAsia="SimSun" w:hAnsi="Calibri" w:cs="Arial"/>
                <w:szCs w:val="22"/>
                <w:lang w:val="en-US" w:eastAsia="fr-SN"/>
              </w:rPr>
              <w:t>-</w:t>
            </w:r>
          </w:p>
        </w:tc>
        <w:tc>
          <w:tcPr>
            <w:tcW w:w="1262" w:type="pct"/>
          </w:tcPr>
          <w:p w14:paraId="60C5B1DE" w14:textId="77777777" w:rsidR="00245ECB" w:rsidRPr="00245ECB" w:rsidRDefault="00245ECB" w:rsidP="00245EC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Arial"/>
                <w:szCs w:val="22"/>
                <w:lang w:val="en-US" w:eastAsia="fr-SN"/>
              </w:rPr>
            </w:pPr>
            <w:r w:rsidRPr="00245ECB">
              <w:rPr>
                <w:rFonts w:ascii="Calibri" w:eastAsia="SimSun" w:hAnsi="Calibri" w:cs="Arial"/>
                <w:szCs w:val="22"/>
                <w:lang w:val="en-US" w:eastAsia="fr-SN"/>
              </w:rPr>
              <w:t>-</w:t>
            </w:r>
          </w:p>
        </w:tc>
      </w:tr>
      <w:tr w:rsidR="00245ECB" w:rsidRPr="00245ECB" w14:paraId="3E30D19E" w14:textId="77777777" w:rsidTr="00245ECB">
        <w:trPr>
          <w:jc w:val="center"/>
        </w:trPr>
        <w:tc>
          <w:tcPr>
            <w:cnfStyle w:val="001000000000" w:firstRow="0" w:lastRow="0" w:firstColumn="1" w:lastColumn="0" w:oddVBand="0" w:evenVBand="0" w:oddHBand="0" w:evenHBand="0" w:firstRowFirstColumn="0" w:firstRowLastColumn="0" w:lastRowFirstColumn="0" w:lastRowLastColumn="0"/>
            <w:tcW w:w="1216" w:type="pct"/>
            <w:noWrap/>
          </w:tcPr>
          <w:p w14:paraId="53FF6C23" w14:textId="77777777" w:rsidR="00245ECB" w:rsidRPr="00245ECB" w:rsidRDefault="00245ECB" w:rsidP="00245ECB">
            <w:pPr>
              <w:spacing w:before="0" w:after="0"/>
              <w:ind w:left="0"/>
              <w:jc w:val="left"/>
              <w:rPr>
                <w:rFonts w:ascii="Calibri" w:eastAsia="SimSun" w:hAnsi="Calibri" w:cs="Arial"/>
                <w:b/>
                <w:bCs/>
                <w:szCs w:val="22"/>
                <w:lang w:val="en-US" w:eastAsia="fr-SN"/>
              </w:rPr>
            </w:pPr>
            <w:r w:rsidRPr="00245ECB">
              <w:rPr>
                <w:rFonts w:ascii="Calibri" w:eastAsia="SimSun" w:hAnsi="Calibri" w:cs="Arial"/>
                <w:b/>
                <w:bCs/>
                <w:szCs w:val="22"/>
                <w:lang w:val="en-US" w:eastAsia="fr-SN"/>
              </w:rPr>
              <w:t>Senegal</w:t>
            </w:r>
          </w:p>
        </w:tc>
        <w:tc>
          <w:tcPr>
            <w:tcW w:w="1261" w:type="pct"/>
          </w:tcPr>
          <w:p w14:paraId="08E46604" w14:textId="77777777" w:rsidR="00245ECB" w:rsidRPr="00245ECB" w:rsidRDefault="00245ECB" w:rsidP="00245EC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Arial"/>
                <w:szCs w:val="22"/>
                <w:lang w:val="en-US" w:eastAsia="fr-SN"/>
              </w:rPr>
            </w:pPr>
            <w:r w:rsidRPr="00245ECB">
              <w:rPr>
                <w:rFonts w:ascii="Calibri" w:eastAsia="SimSun" w:hAnsi="Calibri" w:cs="Arial"/>
                <w:szCs w:val="22"/>
                <w:lang w:val="en-US" w:eastAsia="fr-SN"/>
              </w:rPr>
              <w:t>50 - 75</w:t>
            </w:r>
          </w:p>
        </w:tc>
        <w:tc>
          <w:tcPr>
            <w:tcW w:w="1261" w:type="pct"/>
          </w:tcPr>
          <w:p w14:paraId="3D2A5F20" w14:textId="0714203D" w:rsidR="00245ECB" w:rsidRPr="00245ECB" w:rsidRDefault="00245ECB" w:rsidP="00245EC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Arial"/>
                <w:szCs w:val="22"/>
                <w:lang w:val="en-US" w:eastAsia="fr-SN"/>
              </w:rPr>
            </w:pPr>
            <w:r w:rsidRPr="00245ECB">
              <w:rPr>
                <w:rFonts w:ascii="Calibri" w:eastAsia="SimSun" w:hAnsi="Calibri" w:cs="Arial"/>
                <w:szCs w:val="22"/>
                <w:lang w:val="en-US" w:eastAsia="fr-SN"/>
              </w:rPr>
              <w:t xml:space="preserve">50 </w:t>
            </w:r>
            <w:r w:rsidR="00796FA9">
              <w:rPr>
                <w:rFonts w:ascii="Calibri" w:eastAsia="SimSun" w:hAnsi="Calibri" w:cs="Arial"/>
                <w:szCs w:val="22"/>
                <w:lang w:val="en-US" w:eastAsia="fr-SN"/>
              </w:rPr>
              <w:t>–</w:t>
            </w:r>
            <w:r w:rsidRPr="00245ECB">
              <w:rPr>
                <w:rFonts w:ascii="Calibri" w:eastAsia="SimSun" w:hAnsi="Calibri" w:cs="Arial"/>
                <w:szCs w:val="22"/>
                <w:lang w:val="en-US" w:eastAsia="fr-SN"/>
              </w:rPr>
              <w:t xml:space="preserve"> 100</w:t>
            </w:r>
          </w:p>
        </w:tc>
        <w:tc>
          <w:tcPr>
            <w:tcW w:w="1262" w:type="pct"/>
          </w:tcPr>
          <w:p w14:paraId="1D9026E5" w14:textId="77777777" w:rsidR="00245ECB" w:rsidRPr="00245ECB" w:rsidRDefault="00245ECB" w:rsidP="00245EC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Arial"/>
                <w:szCs w:val="22"/>
                <w:lang w:val="en-US" w:eastAsia="fr-SN"/>
              </w:rPr>
            </w:pPr>
            <w:r w:rsidRPr="00245ECB">
              <w:rPr>
                <w:rFonts w:ascii="Calibri" w:eastAsia="SimSun" w:hAnsi="Calibri" w:cs="Arial"/>
                <w:szCs w:val="22"/>
                <w:lang w:val="en-US" w:eastAsia="fr-SN"/>
              </w:rPr>
              <w:t>300 - 400</w:t>
            </w:r>
          </w:p>
        </w:tc>
      </w:tr>
    </w:tbl>
    <w:p w14:paraId="1C1CF680" w14:textId="1E2843E0" w:rsidR="00245ECB" w:rsidRDefault="00245ECB" w:rsidP="00245ECB">
      <w:pPr>
        <w:rPr>
          <w:lang w:val="en-GB"/>
        </w:rPr>
      </w:pPr>
    </w:p>
    <w:p w14:paraId="6F6AA2DD" w14:textId="2A2581AE" w:rsidR="00245ECB" w:rsidRPr="00245ECB" w:rsidRDefault="00245ECB" w:rsidP="00245ECB">
      <w:pPr>
        <w:rPr>
          <w:lang w:val="en-GB"/>
        </w:rPr>
      </w:pPr>
      <w:r w:rsidRPr="00245ECB">
        <w:rPr>
          <w:lang w:val="en-GB"/>
        </w:rPr>
        <w:t xml:space="preserve">The deep Maastrichtian aquifer, which is shared by the four SMAB countries, has been the subject of numerous studies in Senegal. The concept model created has identified the aquifer’s recharge zones, including (1) the Diass horst zone located at the </w:t>
      </w:r>
      <w:r w:rsidR="007A03F5" w:rsidRPr="00245ECB">
        <w:rPr>
          <w:lang w:val="en-GB"/>
        </w:rPr>
        <w:t>Blaise</w:t>
      </w:r>
      <w:r w:rsidRPr="00245ECB">
        <w:rPr>
          <w:lang w:val="en-GB"/>
        </w:rPr>
        <w:t xml:space="preserve"> Diagne International Airport (AIBD), where the formations rise to the surface, (2) zones in contact with the bedrock formations and unconsolidated formations in southeastern Senegal, (3) in the south of the SMAB, where the Maastrichtian aquifer rises to the surface in Guinea Bissau. The recharge stems from direct infiltration of rainwater or indirect infiltration of river waters and is estimated at approximately 103 x 10</w:t>
      </w:r>
      <w:r w:rsidRPr="00245ECB">
        <w:rPr>
          <w:vertAlign w:val="superscript"/>
          <w:lang w:val="en-GB"/>
        </w:rPr>
        <w:t>6</w:t>
      </w:r>
      <w:r w:rsidRPr="00245ECB">
        <w:rPr>
          <w:lang w:val="en-GB"/>
        </w:rPr>
        <w:t xml:space="preserve"> m³/year. However, according to report RAF/7/011, the Senegal River is not a major source of recharge and only contributed a small fraction of the aquifer’s recharge during the upper Holocene period.</w:t>
      </w:r>
    </w:p>
    <w:p w14:paraId="68F6D8DE" w14:textId="67AAE507" w:rsidR="00245ECB" w:rsidRPr="00245ECB" w:rsidRDefault="00245ECB" w:rsidP="00245ECB">
      <w:pPr>
        <w:rPr>
          <w:lang w:val="en-GB"/>
        </w:rPr>
      </w:pPr>
      <w:r w:rsidRPr="00245ECB">
        <w:rPr>
          <w:lang w:val="en-GB"/>
        </w:rPr>
        <w:t>At the Diass horst, during favorable rainfall periods, recharge is about 20 to 22 million m</w:t>
      </w:r>
      <w:r w:rsidRPr="00245ECB">
        <w:rPr>
          <w:vertAlign w:val="superscript"/>
          <w:lang w:val="en-GB"/>
        </w:rPr>
        <w:t>3</w:t>
      </w:r>
      <w:r w:rsidRPr="00245ECB">
        <w:rPr>
          <w:lang w:val="en-GB"/>
        </w:rPr>
        <w:t>/year (</w:t>
      </w:r>
      <w:r w:rsidR="005C2BBE">
        <w:rPr>
          <w:lang w:val="en-GB"/>
        </w:rPr>
        <w:t>DGPRE</w:t>
      </w:r>
      <w:r w:rsidRPr="00245ECB">
        <w:rPr>
          <w:lang w:val="en-GB"/>
        </w:rPr>
        <w:t xml:space="preserve">, 2001; </w:t>
      </w:r>
      <w:r w:rsidR="005C2BBE">
        <w:rPr>
          <w:lang w:val="en-GB"/>
        </w:rPr>
        <w:t>DGPRE</w:t>
      </w:r>
      <w:r w:rsidRPr="00245ECB">
        <w:rPr>
          <w:lang w:val="en-GB"/>
        </w:rPr>
        <w:t xml:space="preserve">, 2018). There is a net imbalance in the hydrogeological system, mainly due to excessive extractions much greater than the rainfall recharge. </w:t>
      </w:r>
    </w:p>
    <w:p w14:paraId="60EA9BBB" w14:textId="22212B17" w:rsidR="00245ECB" w:rsidRPr="00245ECB" w:rsidRDefault="00245ECB" w:rsidP="00245ECB">
      <w:pPr>
        <w:rPr>
          <w:lang w:val="en-GB"/>
        </w:rPr>
      </w:pPr>
      <w:r w:rsidRPr="00245ECB">
        <w:rPr>
          <w:lang w:val="en-GB"/>
        </w:rPr>
        <w:t>The risk of irremediable salinization of the aquifer are always a concern in this part of the SMAB. Additionally, within the sedimentary edge, recharge comes from indirect infiltration of rainwater through the overlying formations, as well as via upward drainage of water from the crystalline bedrock (</w:t>
      </w:r>
      <w:r w:rsidR="00AC1C67">
        <w:rPr>
          <w:lang w:val="en-GB"/>
        </w:rPr>
        <w:t>DGPRE</w:t>
      </w:r>
      <w:r w:rsidRPr="00245ECB">
        <w:rPr>
          <w:lang w:val="en-GB"/>
        </w:rPr>
        <w:t>, 2001); chemical and isotopic methods confirm that recharge is effective and circulates from SE to NW. Estimates which must be further specified are between 150,000 and 450,000 m</w:t>
      </w:r>
      <w:r w:rsidRPr="00245ECB">
        <w:rPr>
          <w:vertAlign w:val="superscript"/>
          <w:lang w:val="en-GB"/>
        </w:rPr>
        <w:t>3</w:t>
      </w:r>
      <w:r w:rsidRPr="00245ECB">
        <w:rPr>
          <w:lang w:val="en-GB"/>
        </w:rPr>
        <w:t xml:space="preserve">/day. </w:t>
      </w:r>
    </w:p>
    <w:p w14:paraId="23654208" w14:textId="77777777" w:rsidR="00245ECB" w:rsidRPr="00245ECB" w:rsidRDefault="00245ECB" w:rsidP="00245ECB">
      <w:pPr>
        <w:rPr>
          <w:lang w:val="en-GB"/>
        </w:rPr>
      </w:pPr>
      <w:r w:rsidRPr="00245ECB">
        <w:rPr>
          <w:lang w:val="en-GB"/>
        </w:rPr>
        <w:t xml:space="preserve">Reliable information is needed on the aquifer’s current recharge at its northern limit (near Lake Guiers) and southern limit (in Guinea Bissau). The entire recharge along the edge of the SMAB, particularly at the Maastrichtian outcrop in Guinea Bissau, is poorly understood; further study is needed, so as to determine the water renewal. </w:t>
      </w:r>
    </w:p>
    <w:p w14:paraId="75505DEE" w14:textId="77777777" w:rsidR="008A6F3E" w:rsidRDefault="00245ECB" w:rsidP="008A6F3E">
      <w:r w:rsidRPr="00245ECB">
        <w:rPr>
          <w:lang w:val="en-GB"/>
        </w:rPr>
        <w:t xml:space="preserve">The superficial aquifer system in Mauritania (for example, Trarza, Brakna), is recharged from current rainwater or the Senegal River, which, according to stable and radioactive isotopes, plays a major role in the recharge (RAF/7/011, 2017). In Gambia, as in Guinea Bissau, in addition to rainwater, waterways (the Gambia River, Rio Geba) certainly play a major role in recharging superficial aquifers. </w:t>
      </w:r>
      <w:r w:rsidRPr="00120701">
        <w:t>This also requires further exploration.</w:t>
      </w:r>
    </w:p>
    <w:p w14:paraId="09A457DD" w14:textId="4EE2CE8E" w:rsidR="00245ECB" w:rsidRPr="00F06C0B" w:rsidRDefault="00245ECB" w:rsidP="00BB319B">
      <w:pPr>
        <w:pStyle w:val="Heading3"/>
        <w:rPr>
          <w:lang w:val="en-GB"/>
        </w:rPr>
      </w:pPr>
      <w:bookmarkStart w:id="14" w:name="_Toc53651761"/>
      <w:r w:rsidRPr="00245ECB">
        <w:rPr>
          <w:lang w:val="en-GB"/>
        </w:rPr>
        <w:t>Interaction with surface water under TBO jurisdiction</w:t>
      </w:r>
      <w:bookmarkEnd w:id="14"/>
      <w:r w:rsidRPr="00245ECB">
        <w:rPr>
          <w:lang w:val="en-GB"/>
        </w:rPr>
        <w:t xml:space="preserve"> </w:t>
      </w:r>
    </w:p>
    <w:p w14:paraId="00CB7335" w14:textId="77777777" w:rsidR="00245ECB" w:rsidRPr="00245ECB" w:rsidRDefault="00245ECB" w:rsidP="00245ECB">
      <w:pPr>
        <w:rPr>
          <w:lang w:val="en-GB"/>
        </w:rPr>
      </w:pPr>
      <w:r w:rsidRPr="00245ECB">
        <w:rPr>
          <w:lang w:val="en-GB"/>
        </w:rPr>
        <w:t xml:space="preserve">In the Senegal River Basin, particularly the middle valley and Delta, many studies have been carried out in order to understand the dynamics and interaction between the river and underlying aquifers, particularly the alluvial groundwater. Additionally, a project entitled “Groundwater” was designed and aimed at identifying and monitoring changes to the groundwater regime linked to the use of dams and the intensive development of agriculture irrigated using alluvial formations from the Senegal River Basin. This was carried out as part of the "Groundwater Unit" Project by the OMVS and USAID between January 1985 and June 1990. This project included monthly monitoring in 1987 and 1991, and was conducted using over 500 piezometres, on physical and chemical parameters as well as the static level. </w:t>
      </w:r>
    </w:p>
    <w:p w14:paraId="58719215" w14:textId="77777777" w:rsidR="001E364E" w:rsidRDefault="00245ECB" w:rsidP="008A6F3E">
      <w:pPr>
        <w:rPr>
          <w:lang w:val="en-GB"/>
        </w:rPr>
      </w:pPr>
      <w:r w:rsidRPr="00245ECB">
        <w:rPr>
          <w:lang w:val="en-GB"/>
        </w:rPr>
        <w:t xml:space="preserve">All studies showed that the alluvial groundwater is supplied by the river during flood season, and empties into the river during the dry season, thus supporting the base flow of the river downstream from Bakel. Annual fluctuations in groundwater levels illustrate this interaction, the size of which varies depending on the distance to the Senegal River and proximity to an irrigated perimeter (Table 2). </w:t>
      </w:r>
      <w:r w:rsidR="001E364E">
        <w:rPr>
          <w:lang w:val="en-GB"/>
        </w:rPr>
        <w:t xml:space="preserve"> </w:t>
      </w:r>
    </w:p>
    <w:p w14:paraId="46AD2B7E" w14:textId="20BB9C8D" w:rsidR="008A6F3E" w:rsidRPr="008A6F3E" w:rsidRDefault="008A6F3E" w:rsidP="008A6F3E">
      <w:pPr>
        <w:rPr>
          <w:lang w:val="en-GB"/>
        </w:rPr>
      </w:pPr>
      <w:r w:rsidRPr="008A6F3E">
        <w:rPr>
          <w:lang w:val="en-GB"/>
        </w:rPr>
        <w:t>Table 2: annual fluctuation in alluvial groundwater levels (source: OMVS, 2008)</w:t>
      </w:r>
    </w:p>
    <w:tbl>
      <w:tblPr>
        <w:tblStyle w:val="MediumList2-Accent1"/>
        <w:tblW w:w="9644" w:type="dxa"/>
        <w:tblInd w:w="10" w:type="dxa"/>
        <w:tblLayout w:type="fixed"/>
        <w:tblLook w:val="04A0" w:firstRow="1" w:lastRow="0" w:firstColumn="1" w:lastColumn="0" w:noHBand="0" w:noVBand="1"/>
      </w:tblPr>
      <w:tblGrid>
        <w:gridCol w:w="3904"/>
        <w:gridCol w:w="1134"/>
        <w:gridCol w:w="1204"/>
        <w:gridCol w:w="1134"/>
        <w:gridCol w:w="1134"/>
        <w:gridCol w:w="1134"/>
      </w:tblGrid>
      <w:tr w:rsidR="008A6F3E" w:rsidRPr="00BF79CE" w14:paraId="19376BB3" w14:textId="77777777" w:rsidTr="008A6F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04" w:type="dxa"/>
            <w:shd w:val="clear" w:color="auto" w:fill="BDD6EE"/>
          </w:tcPr>
          <w:p w14:paraId="6EEB9972" w14:textId="77777777" w:rsidR="008A6F3E" w:rsidRPr="008A6F3E" w:rsidRDefault="008A6F3E" w:rsidP="008A6F3E">
            <w:pPr>
              <w:spacing w:before="60" w:after="60"/>
              <w:ind w:left="0"/>
              <w:rPr>
                <w:rFonts w:ascii="Calibri" w:eastAsia="SimSun" w:hAnsi="Calibri" w:cs="Arial"/>
                <w:b/>
                <w:bCs/>
                <w:color w:val="000000"/>
                <w:szCs w:val="22"/>
                <w:lang w:val="en-US" w:eastAsia="en-US"/>
              </w:rPr>
            </w:pPr>
            <w:r w:rsidRPr="008A6F3E">
              <w:rPr>
                <w:rFonts w:ascii="Calibri" w:eastAsia="SimSun" w:hAnsi="Calibri" w:cs="Arial"/>
                <w:b/>
                <w:bCs/>
                <w:color w:val="000000"/>
                <w:szCs w:val="22"/>
                <w:lang w:val="en-US" w:eastAsia="en-US"/>
              </w:rPr>
              <w:t>Sites</w:t>
            </w:r>
          </w:p>
        </w:tc>
        <w:tc>
          <w:tcPr>
            <w:tcW w:w="5740" w:type="dxa"/>
            <w:gridSpan w:val="5"/>
            <w:shd w:val="clear" w:color="auto" w:fill="BDD6EE"/>
          </w:tcPr>
          <w:p w14:paraId="5F6AA48C" w14:textId="77777777" w:rsidR="008A6F3E" w:rsidRPr="008A6F3E" w:rsidRDefault="008A6F3E" w:rsidP="008A6F3E">
            <w:pPr>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Arial"/>
                <w:b/>
                <w:bCs/>
                <w:color w:val="000000"/>
                <w:szCs w:val="22"/>
                <w:lang w:val="en-US" w:eastAsia="en-US"/>
              </w:rPr>
            </w:pPr>
            <w:r w:rsidRPr="008A6F3E">
              <w:rPr>
                <w:rFonts w:ascii="Calibri" w:eastAsia="SimSun" w:hAnsi="Calibri" w:cs="Arial"/>
                <w:b/>
                <w:bCs/>
                <w:color w:val="000000"/>
                <w:szCs w:val="22"/>
                <w:lang w:val="en-US" w:eastAsia="en-US"/>
              </w:rPr>
              <w:t>Annual variation in piezometric levels (m)</w:t>
            </w:r>
          </w:p>
        </w:tc>
      </w:tr>
      <w:tr w:rsidR="008A6F3E" w:rsidRPr="008A6F3E" w14:paraId="4A5EDD62" w14:textId="77777777" w:rsidTr="008A6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4" w:type="dxa"/>
          </w:tcPr>
          <w:p w14:paraId="7E2B6786" w14:textId="77777777" w:rsidR="008A6F3E" w:rsidRPr="008A6F3E" w:rsidRDefault="008A6F3E" w:rsidP="008A6F3E">
            <w:pPr>
              <w:spacing w:before="60" w:after="60"/>
              <w:ind w:left="0"/>
              <w:jc w:val="right"/>
              <w:rPr>
                <w:rFonts w:ascii="Calibri" w:eastAsia="SimSun" w:hAnsi="Calibri" w:cs="Arial"/>
                <w:b/>
                <w:bCs/>
                <w:color w:val="000000"/>
                <w:szCs w:val="22"/>
                <w:lang w:val="en-US" w:eastAsia="en-US"/>
              </w:rPr>
            </w:pPr>
            <w:r w:rsidRPr="008A6F3E">
              <w:rPr>
                <w:rFonts w:ascii="Calibri" w:eastAsia="SimSun" w:hAnsi="Calibri" w:cs="Arial"/>
                <w:b/>
                <w:bCs/>
                <w:color w:val="000000"/>
                <w:szCs w:val="22"/>
                <w:lang w:val="en-US" w:eastAsia="en-US"/>
              </w:rPr>
              <w:t>Location on the left and right banks</w:t>
            </w:r>
          </w:p>
        </w:tc>
        <w:tc>
          <w:tcPr>
            <w:tcW w:w="1134" w:type="dxa"/>
          </w:tcPr>
          <w:p w14:paraId="622F740B"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b/>
                <w:bCs/>
                <w:color w:val="000000"/>
                <w:szCs w:val="22"/>
                <w:lang w:val="en-US" w:eastAsia="en-US"/>
              </w:rPr>
            </w:pPr>
            <w:r w:rsidRPr="008A6F3E">
              <w:rPr>
                <w:rFonts w:ascii="Calibri" w:eastAsia="SimSun" w:hAnsi="Calibri" w:cs="Arial"/>
                <w:b/>
                <w:bCs/>
                <w:color w:val="000000"/>
                <w:szCs w:val="22"/>
                <w:lang w:val="en-US" w:eastAsia="en-US"/>
              </w:rPr>
              <w:t>Dagana</w:t>
            </w:r>
          </w:p>
        </w:tc>
        <w:tc>
          <w:tcPr>
            <w:tcW w:w="1204" w:type="dxa"/>
          </w:tcPr>
          <w:p w14:paraId="5183A748"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b/>
                <w:bCs/>
                <w:color w:val="000000"/>
                <w:szCs w:val="22"/>
                <w:lang w:val="en-US" w:eastAsia="en-US"/>
              </w:rPr>
            </w:pPr>
            <w:r w:rsidRPr="008A6F3E">
              <w:rPr>
                <w:rFonts w:ascii="Calibri" w:eastAsia="SimSun" w:hAnsi="Calibri" w:cs="Arial"/>
                <w:b/>
                <w:bCs/>
                <w:color w:val="000000"/>
                <w:szCs w:val="22"/>
                <w:lang w:val="en-US" w:eastAsia="en-US"/>
              </w:rPr>
              <w:t>Podor</w:t>
            </w:r>
          </w:p>
        </w:tc>
        <w:tc>
          <w:tcPr>
            <w:tcW w:w="1134" w:type="dxa"/>
          </w:tcPr>
          <w:p w14:paraId="42B55477"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b/>
                <w:bCs/>
                <w:color w:val="000000"/>
                <w:szCs w:val="22"/>
                <w:lang w:val="en-US" w:eastAsia="en-US"/>
              </w:rPr>
            </w:pPr>
            <w:r w:rsidRPr="008A6F3E">
              <w:rPr>
                <w:rFonts w:ascii="Calibri" w:eastAsia="SimSun" w:hAnsi="Calibri" w:cs="Arial"/>
                <w:b/>
                <w:bCs/>
                <w:color w:val="000000"/>
                <w:szCs w:val="22"/>
                <w:lang w:val="en-US" w:eastAsia="en-US"/>
              </w:rPr>
              <w:t>Kaedi</w:t>
            </w:r>
          </w:p>
        </w:tc>
        <w:tc>
          <w:tcPr>
            <w:tcW w:w="1134" w:type="dxa"/>
          </w:tcPr>
          <w:p w14:paraId="417634DE"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b/>
                <w:bCs/>
                <w:color w:val="000000"/>
                <w:szCs w:val="22"/>
                <w:lang w:val="en-US" w:eastAsia="en-US"/>
              </w:rPr>
            </w:pPr>
            <w:r w:rsidRPr="008A6F3E">
              <w:rPr>
                <w:rFonts w:ascii="Calibri" w:eastAsia="SimSun" w:hAnsi="Calibri" w:cs="Arial"/>
                <w:b/>
                <w:bCs/>
                <w:color w:val="000000"/>
                <w:szCs w:val="22"/>
                <w:lang w:val="en-US" w:eastAsia="en-US"/>
              </w:rPr>
              <w:t>Matam</w:t>
            </w:r>
          </w:p>
        </w:tc>
        <w:tc>
          <w:tcPr>
            <w:tcW w:w="1134" w:type="dxa"/>
          </w:tcPr>
          <w:p w14:paraId="6ED7081B"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b/>
                <w:bCs/>
                <w:color w:val="000000"/>
                <w:szCs w:val="22"/>
                <w:lang w:val="en-US" w:eastAsia="en-US"/>
              </w:rPr>
            </w:pPr>
            <w:r w:rsidRPr="008A6F3E">
              <w:rPr>
                <w:rFonts w:ascii="Calibri" w:eastAsia="SimSun" w:hAnsi="Calibri" w:cs="Arial"/>
                <w:b/>
                <w:bCs/>
                <w:color w:val="000000"/>
                <w:szCs w:val="22"/>
                <w:lang w:val="en-US" w:eastAsia="en-US"/>
              </w:rPr>
              <w:t>Selibabi</w:t>
            </w:r>
          </w:p>
        </w:tc>
      </w:tr>
      <w:tr w:rsidR="008A6F3E" w:rsidRPr="008A6F3E" w14:paraId="2C1DE008" w14:textId="77777777" w:rsidTr="008A6F3E">
        <w:tc>
          <w:tcPr>
            <w:cnfStyle w:val="001000000000" w:firstRow="0" w:lastRow="0" w:firstColumn="1" w:lastColumn="0" w:oddVBand="0" w:evenVBand="0" w:oddHBand="0" w:evenHBand="0" w:firstRowFirstColumn="0" w:firstRowLastColumn="0" w:lastRowFirstColumn="0" w:lastRowLastColumn="0"/>
            <w:tcW w:w="3904" w:type="dxa"/>
          </w:tcPr>
          <w:p w14:paraId="345FCFE5" w14:textId="77777777" w:rsidR="008A6F3E" w:rsidRPr="008A6F3E" w:rsidRDefault="008A6F3E" w:rsidP="008A6F3E">
            <w:pPr>
              <w:spacing w:before="60" w:after="60"/>
              <w:ind w:left="0"/>
              <w:rPr>
                <w:rFonts w:ascii="Calibri" w:eastAsia="SimSun" w:hAnsi="Calibri" w:cs="Arial"/>
                <w:b/>
                <w:bCs/>
                <w:color w:val="000000"/>
                <w:szCs w:val="22"/>
                <w:lang w:val="en-US" w:eastAsia="en-US"/>
              </w:rPr>
            </w:pPr>
            <w:r w:rsidRPr="008A6F3E">
              <w:rPr>
                <w:rFonts w:ascii="Calibri" w:eastAsia="SimSun" w:hAnsi="Calibri" w:cs="Arial"/>
                <w:b/>
                <w:bCs/>
                <w:color w:val="000000"/>
                <w:szCs w:val="22"/>
                <w:lang w:val="en-US" w:eastAsia="en-US"/>
              </w:rPr>
              <w:t>Outside the perimeter and far from the waterway</w:t>
            </w:r>
          </w:p>
        </w:tc>
        <w:tc>
          <w:tcPr>
            <w:tcW w:w="1134" w:type="dxa"/>
          </w:tcPr>
          <w:p w14:paraId="5AB74F1E" w14:textId="77777777" w:rsidR="008A6F3E" w:rsidRPr="008A6F3E" w:rsidRDefault="008A6F3E" w:rsidP="008A6F3E">
            <w:pPr>
              <w:spacing w:before="60" w:after="60"/>
              <w:ind w:left="0"/>
              <w:cnfStyle w:val="000000000000" w:firstRow="0" w:lastRow="0" w:firstColumn="0" w:lastColumn="0" w:oddVBand="0" w:evenVBand="0" w:oddHBand="0"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0.2 to 0.3</w:t>
            </w:r>
          </w:p>
        </w:tc>
        <w:tc>
          <w:tcPr>
            <w:tcW w:w="1204" w:type="dxa"/>
          </w:tcPr>
          <w:p w14:paraId="45632450" w14:textId="77777777" w:rsidR="008A6F3E" w:rsidRPr="008A6F3E" w:rsidRDefault="008A6F3E" w:rsidP="008A6F3E">
            <w:pPr>
              <w:spacing w:before="60" w:after="60"/>
              <w:ind w:left="0"/>
              <w:cnfStyle w:val="000000000000" w:firstRow="0" w:lastRow="0" w:firstColumn="0" w:lastColumn="0" w:oddVBand="0" w:evenVBand="0" w:oddHBand="0"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0.5 to 0.8</w:t>
            </w:r>
          </w:p>
        </w:tc>
        <w:tc>
          <w:tcPr>
            <w:tcW w:w="1134" w:type="dxa"/>
          </w:tcPr>
          <w:p w14:paraId="0774F8EB" w14:textId="77777777" w:rsidR="008A6F3E" w:rsidRPr="008A6F3E" w:rsidRDefault="008A6F3E" w:rsidP="008A6F3E">
            <w:pPr>
              <w:spacing w:before="60" w:after="60"/>
              <w:ind w:left="0"/>
              <w:cnfStyle w:val="000000000000" w:firstRow="0" w:lastRow="0" w:firstColumn="0" w:lastColumn="0" w:oddVBand="0" w:evenVBand="0" w:oddHBand="0"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0.2 to 0.5</w:t>
            </w:r>
          </w:p>
        </w:tc>
        <w:tc>
          <w:tcPr>
            <w:tcW w:w="1134" w:type="dxa"/>
          </w:tcPr>
          <w:p w14:paraId="2D7DF968" w14:textId="77777777" w:rsidR="008A6F3E" w:rsidRPr="008A6F3E" w:rsidRDefault="008A6F3E" w:rsidP="008A6F3E">
            <w:pPr>
              <w:spacing w:before="60" w:after="60"/>
              <w:ind w:left="0"/>
              <w:cnfStyle w:val="000000000000" w:firstRow="0" w:lastRow="0" w:firstColumn="0" w:lastColumn="0" w:oddVBand="0" w:evenVBand="0" w:oddHBand="0"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0.5 to 1.2</w:t>
            </w:r>
          </w:p>
        </w:tc>
        <w:tc>
          <w:tcPr>
            <w:tcW w:w="1134" w:type="dxa"/>
          </w:tcPr>
          <w:p w14:paraId="54D5E0CC" w14:textId="77777777" w:rsidR="008A6F3E" w:rsidRPr="008A6F3E" w:rsidRDefault="008A6F3E" w:rsidP="008A6F3E">
            <w:pPr>
              <w:spacing w:before="60" w:after="60"/>
              <w:ind w:left="0"/>
              <w:cnfStyle w:val="000000000000" w:firstRow="0" w:lastRow="0" w:firstColumn="0" w:lastColumn="0" w:oddVBand="0" w:evenVBand="0" w:oddHBand="0"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0.4 to 1.0</w:t>
            </w:r>
          </w:p>
        </w:tc>
      </w:tr>
      <w:tr w:rsidR="008A6F3E" w:rsidRPr="008A6F3E" w14:paraId="118156A0" w14:textId="77777777" w:rsidTr="008A6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4" w:type="dxa"/>
          </w:tcPr>
          <w:p w14:paraId="1128584B" w14:textId="77777777" w:rsidR="008A6F3E" w:rsidRPr="008A6F3E" w:rsidRDefault="008A6F3E" w:rsidP="008A6F3E">
            <w:pPr>
              <w:spacing w:before="60" w:after="60"/>
              <w:ind w:left="0"/>
              <w:rPr>
                <w:rFonts w:ascii="Calibri" w:eastAsia="SimSun" w:hAnsi="Calibri" w:cs="Arial"/>
                <w:b/>
                <w:bCs/>
                <w:color w:val="000000"/>
                <w:szCs w:val="22"/>
                <w:lang w:val="en-US" w:eastAsia="en-US"/>
              </w:rPr>
            </w:pPr>
            <w:r w:rsidRPr="008A6F3E">
              <w:rPr>
                <w:rFonts w:ascii="Calibri" w:eastAsia="SimSun" w:hAnsi="Calibri" w:cs="Arial"/>
                <w:b/>
                <w:bCs/>
                <w:color w:val="000000"/>
                <w:szCs w:val="22"/>
                <w:lang w:val="en-US" w:eastAsia="en-US"/>
              </w:rPr>
              <w:t>Alongside the waterway</w:t>
            </w:r>
          </w:p>
        </w:tc>
        <w:tc>
          <w:tcPr>
            <w:tcW w:w="1134" w:type="dxa"/>
          </w:tcPr>
          <w:p w14:paraId="53CFF05D"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1.0</w:t>
            </w:r>
          </w:p>
        </w:tc>
        <w:tc>
          <w:tcPr>
            <w:tcW w:w="1204" w:type="dxa"/>
          </w:tcPr>
          <w:p w14:paraId="6B4505AF"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0.8 to 1.85</w:t>
            </w:r>
          </w:p>
        </w:tc>
        <w:tc>
          <w:tcPr>
            <w:tcW w:w="1134" w:type="dxa"/>
          </w:tcPr>
          <w:p w14:paraId="51F80BFA"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0.6 to 2.5</w:t>
            </w:r>
          </w:p>
        </w:tc>
        <w:tc>
          <w:tcPr>
            <w:tcW w:w="1134" w:type="dxa"/>
          </w:tcPr>
          <w:p w14:paraId="33F043F9"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1.6 to 3.0</w:t>
            </w:r>
          </w:p>
        </w:tc>
        <w:tc>
          <w:tcPr>
            <w:tcW w:w="1134" w:type="dxa"/>
          </w:tcPr>
          <w:p w14:paraId="236C6C3E"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color w:val="000000"/>
                <w:szCs w:val="22"/>
                <w:lang w:val="en-US" w:eastAsia="en-US"/>
              </w:rPr>
            </w:pPr>
          </w:p>
        </w:tc>
      </w:tr>
      <w:tr w:rsidR="008A6F3E" w:rsidRPr="008A6F3E" w14:paraId="2BD3F81C" w14:textId="77777777" w:rsidTr="008A6F3E">
        <w:tc>
          <w:tcPr>
            <w:cnfStyle w:val="001000000000" w:firstRow="0" w:lastRow="0" w:firstColumn="1" w:lastColumn="0" w:oddVBand="0" w:evenVBand="0" w:oddHBand="0" w:evenHBand="0" w:firstRowFirstColumn="0" w:firstRowLastColumn="0" w:lastRowFirstColumn="0" w:lastRowLastColumn="0"/>
            <w:tcW w:w="3904" w:type="dxa"/>
          </w:tcPr>
          <w:p w14:paraId="29E4F245" w14:textId="77777777" w:rsidR="008A6F3E" w:rsidRPr="008A6F3E" w:rsidRDefault="008A6F3E" w:rsidP="008A6F3E">
            <w:pPr>
              <w:spacing w:before="60" w:after="60"/>
              <w:ind w:left="0"/>
              <w:rPr>
                <w:rFonts w:ascii="Calibri" w:eastAsia="SimSun" w:hAnsi="Calibri" w:cs="Arial"/>
                <w:b/>
                <w:bCs/>
                <w:color w:val="000000"/>
                <w:szCs w:val="22"/>
                <w:lang w:val="en-US" w:eastAsia="en-US"/>
              </w:rPr>
            </w:pPr>
            <w:r w:rsidRPr="008A6F3E">
              <w:rPr>
                <w:rFonts w:ascii="Calibri" w:eastAsia="SimSun" w:hAnsi="Calibri" w:cs="Arial"/>
                <w:b/>
                <w:bCs/>
                <w:color w:val="000000"/>
                <w:szCs w:val="22"/>
                <w:lang w:val="en-US" w:eastAsia="en-US"/>
              </w:rPr>
              <w:t>Within the perimeters</w:t>
            </w:r>
          </w:p>
        </w:tc>
        <w:tc>
          <w:tcPr>
            <w:tcW w:w="1134" w:type="dxa"/>
          </w:tcPr>
          <w:p w14:paraId="4F2F191B" w14:textId="77777777" w:rsidR="008A6F3E" w:rsidRPr="008A6F3E" w:rsidRDefault="008A6F3E" w:rsidP="008A6F3E">
            <w:pPr>
              <w:spacing w:before="60" w:after="60"/>
              <w:ind w:left="0"/>
              <w:cnfStyle w:val="000000000000" w:firstRow="0" w:lastRow="0" w:firstColumn="0" w:lastColumn="0" w:oddVBand="0" w:evenVBand="0" w:oddHBand="0"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1.9</w:t>
            </w:r>
          </w:p>
        </w:tc>
        <w:tc>
          <w:tcPr>
            <w:tcW w:w="1204" w:type="dxa"/>
          </w:tcPr>
          <w:p w14:paraId="5CE30B0E" w14:textId="77777777" w:rsidR="008A6F3E" w:rsidRPr="008A6F3E" w:rsidRDefault="008A6F3E" w:rsidP="008A6F3E">
            <w:pPr>
              <w:spacing w:before="60" w:after="60"/>
              <w:ind w:left="0"/>
              <w:cnfStyle w:val="000000000000" w:firstRow="0" w:lastRow="0" w:firstColumn="0" w:lastColumn="0" w:oddVBand="0" w:evenVBand="0" w:oddHBand="0"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0.8 to 1.5</w:t>
            </w:r>
          </w:p>
        </w:tc>
        <w:tc>
          <w:tcPr>
            <w:tcW w:w="1134" w:type="dxa"/>
          </w:tcPr>
          <w:p w14:paraId="0D2C07A8" w14:textId="77777777" w:rsidR="008A6F3E" w:rsidRPr="008A6F3E" w:rsidRDefault="008A6F3E" w:rsidP="008A6F3E">
            <w:pPr>
              <w:spacing w:before="60" w:after="60"/>
              <w:ind w:left="0"/>
              <w:cnfStyle w:val="000000000000" w:firstRow="0" w:lastRow="0" w:firstColumn="0" w:lastColumn="0" w:oddVBand="0" w:evenVBand="0" w:oddHBand="0"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1 to 2</w:t>
            </w:r>
          </w:p>
        </w:tc>
        <w:tc>
          <w:tcPr>
            <w:tcW w:w="1134" w:type="dxa"/>
          </w:tcPr>
          <w:p w14:paraId="6D2E7D43" w14:textId="77777777" w:rsidR="008A6F3E" w:rsidRPr="008A6F3E" w:rsidRDefault="008A6F3E" w:rsidP="008A6F3E">
            <w:pPr>
              <w:spacing w:before="60" w:after="60"/>
              <w:ind w:left="0"/>
              <w:cnfStyle w:val="000000000000" w:firstRow="0" w:lastRow="0" w:firstColumn="0" w:lastColumn="0" w:oddVBand="0" w:evenVBand="0" w:oddHBand="0" w:evenHBand="0" w:firstRowFirstColumn="0" w:firstRowLastColumn="0" w:lastRowFirstColumn="0" w:lastRowLastColumn="0"/>
              <w:rPr>
                <w:rFonts w:ascii="Calibri" w:eastAsia="SimSun" w:hAnsi="Calibri" w:cs="Arial"/>
                <w:color w:val="000000"/>
                <w:szCs w:val="22"/>
                <w:lang w:val="en-US" w:eastAsia="en-US"/>
              </w:rPr>
            </w:pPr>
          </w:p>
        </w:tc>
        <w:tc>
          <w:tcPr>
            <w:tcW w:w="1134" w:type="dxa"/>
          </w:tcPr>
          <w:p w14:paraId="2B886D40" w14:textId="77777777" w:rsidR="008A6F3E" w:rsidRPr="008A6F3E" w:rsidRDefault="008A6F3E" w:rsidP="008A6F3E">
            <w:pPr>
              <w:spacing w:before="60" w:after="60"/>
              <w:ind w:left="0"/>
              <w:cnfStyle w:val="000000000000" w:firstRow="0" w:lastRow="0" w:firstColumn="0" w:lastColumn="0" w:oddVBand="0" w:evenVBand="0" w:oddHBand="0"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1.0</w:t>
            </w:r>
          </w:p>
        </w:tc>
      </w:tr>
      <w:tr w:rsidR="008A6F3E" w:rsidRPr="008A6F3E" w14:paraId="43E3B3FD" w14:textId="77777777" w:rsidTr="008A6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4" w:type="dxa"/>
          </w:tcPr>
          <w:p w14:paraId="7DE20510" w14:textId="77777777" w:rsidR="008A6F3E" w:rsidRPr="008A6F3E" w:rsidRDefault="008A6F3E" w:rsidP="008A6F3E">
            <w:pPr>
              <w:spacing w:before="60" w:after="60"/>
              <w:ind w:left="0"/>
              <w:rPr>
                <w:rFonts w:ascii="Calibri" w:eastAsia="SimSun" w:hAnsi="Calibri" w:cs="Arial"/>
                <w:b/>
                <w:bCs/>
                <w:color w:val="000000"/>
                <w:szCs w:val="22"/>
                <w:lang w:val="en-US" w:eastAsia="en-US"/>
              </w:rPr>
            </w:pPr>
            <w:r w:rsidRPr="008A6F3E">
              <w:rPr>
                <w:rFonts w:ascii="Calibri" w:eastAsia="SimSun" w:hAnsi="Calibri" w:cs="Arial"/>
                <w:b/>
                <w:bCs/>
                <w:color w:val="000000"/>
                <w:szCs w:val="22"/>
                <w:lang w:val="en-US" w:eastAsia="en-US"/>
              </w:rPr>
              <w:t>Within the perimeter and alongside the waterway</w:t>
            </w:r>
          </w:p>
        </w:tc>
        <w:tc>
          <w:tcPr>
            <w:tcW w:w="1134" w:type="dxa"/>
          </w:tcPr>
          <w:p w14:paraId="62E92E2C"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color w:val="000000"/>
                <w:szCs w:val="22"/>
                <w:lang w:val="en-US" w:eastAsia="en-US"/>
              </w:rPr>
            </w:pPr>
          </w:p>
        </w:tc>
        <w:tc>
          <w:tcPr>
            <w:tcW w:w="1204" w:type="dxa"/>
          </w:tcPr>
          <w:p w14:paraId="269D3576"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1.5 to 2.0</w:t>
            </w:r>
          </w:p>
        </w:tc>
        <w:tc>
          <w:tcPr>
            <w:tcW w:w="1134" w:type="dxa"/>
          </w:tcPr>
          <w:p w14:paraId="7818C3C9"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2.7</w:t>
            </w:r>
          </w:p>
        </w:tc>
        <w:tc>
          <w:tcPr>
            <w:tcW w:w="1134" w:type="dxa"/>
          </w:tcPr>
          <w:p w14:paraId="691BE0A4"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color w:val="000000"/>
                <w:szCs w:val="22"/>
                <w:lang w:val="en-US" w:eastAsia="en-US"/>
              </w:rPr>
            </w:pPr>
          </w:p>
        </w:tc>
        <w:tc>
          <w:tcPr>
            <w:tcW w:w="1134" w:type="dxa"/>
          </w:tcPr>
          <w:p w14:paraId="6D85DFB2" w14:textId="77777777" w:rsidR="008A6F3E" w:rsidRPr="008A6F3E" w:rsidRDefault="008A6F3E" w:rsidP="008A6F3E">
            <w:pPr>
              <w:spacing w:before="60" w:after="60"/>
              <w:ind w:left="0"/>
              <w:cnfStyle w:val="000000100000" w:firstRow="0" w:lastRow="0" w:firstColumn="0" w:lastColumn="0" w:oddVBand="0" w:evenVBand="0" w:oddHBand="1" w:evenHBand="0" w:firstRowFirstColumn="0" w:firstRowLastColumn="0" w:lastRowFirstColumn="0" w:lastRowLastColumn="0"/>
              <w:rPr>
                <w:rFonts w:ascii="Calibri" w:eastAsia="SimSun" w:hAnsi="Calibri" w:cs="Arial"/>
                <w:color w:val="000000"/>
                <w:szCs w:val="22"/>
                <w:lang w:val="en-US" w:eastAsia="en-US"/>
              </w:rPr>
            </w:pPr>
            <w:r w:rsidRPr="008A6F3E">
              <w:rPr>
                <w:rFonts w:ascii="Calibri" w:eastAsia="SimSun" w:hAnsi="Calibri" w:cs="Arial"/>
                <w:color w:val="000000"/>
                <w:szCs w:val="22"/>
                <w:lang w:val="en-US" w:eastAsia="en-US"/>
              </w:rPr>
              <w:t>3.0</w:t>
            </w:r>
          </w:p>
        </w:tc>
      </w:tr>
    </w:tbl>
    <w:p w14:paraId="09C09F87" w14:textId="132DEA97" w:rsidR="00245ECB" w:rsidRDefault="00245ECB" w:rsidP="00245ECB">
      <w:pPr>
        <w:rPr>
          <w:lang w:val="en-GB"/>
        </w:rPr>
      </w:pPr>
    </w:p>
    <w:p w14:paraId="594F7F8D" w14:textId="77777777" w:rsidR="008A6F3E" w:rsidRPr="008A6F3E" w:rsidRDefault="008A6F3E" w:rsidP="008A6F3E">
      <w:pPr>
        <w:rPr>
          <w:lang w:val="en-GB"/>
        </w:rPr>
      </w:pPr>
      <w:r w:rsidRPr="008A6F3E">
        <w:rPr>
          <w:lang w:val="en-GB"/>
        </w:rPr>
        <w:t>With regard to the superficial aquifer system, isotopic studies (RAF/7/011, 2017; Mohamed, 2012) have clearly revealed vertical recharges via rainwater infiltration and lateral recharges via river water infiltration.</w:t>
      </w:r>
    </w:p>
    <w:p w14:paraId="59DD23FB" w14:textId="2E58552B" w:rsidR="008A6F3E" w:rsidRDefault="008A6F3E" w:rsidP="008A6F3E">
      <w:pPr>
        <w:rPr>
          <w:lang w:val="en-GB"/>
        </w:rPr>
      </w:pPr>
      <w:r w:rsidRPr="008A6F3E">
        <w:rPr>
          <w:lang w:val="en-GB"/>
        </w:rPr>
        <w:t>In the Gambia River Basin, interaction between the river and its tributaries and the superficial aquifer system has been noted (NIRAS, 2015). During the low water period, groundwater ensures the river flow. Similarly, recovery of marine water in the waterways has a negative impact on the water table and leads to salinization.</w:t>
      </w:r>
    </w:p>
    <w:p w14:paraId="5AD00030" w14:textId="47ED9E97" w:rsidR="008A6F3E" w:rsidRPr="008A6F3E" w:rsidRDefault="008A6F3E" w:rsidP="008A6F3E">
      <w:pPr>
        <w:pStyle w:val="Heading2"/>
        <w:rPr>
          <w:lang w:val="en-GB"/>
        </w:rPr>
      </w:pPr>
      <w:bookmarkStart w:id="15" w:name="_Toc53651762"/>
      <w:r w:rsidRPr="008A6F3E">
        <w:rPr>
          <w:lang w:val="en-GB"/>
        </w:rPr>
        <w:t>I</w:t>
      </w:r>
      <w:r>
        <w:rPr>
          <w:lang w:val="en-GB"/>
        </w:rPr>
        <w:t>ssues and Challenges in Managing SMAB Aquifers</w:t>
      </w:r>
      <w:bookmarkEnd w:id="15"/>
    </w:p>
    <w:p w14:paraId="78A406C7" w14:textId="77777777" w:rsidR="008A6F3E" w:rsidRPr="008A6F3E" w:rsidRDefault="008A6F3E" w:rsidP="008A6F3E">
      <w:pPr>
        <w:rPr>
          <w:lang w:val="en-GB"/>
        </w:rPr>
      </w:pPr>
      <w:r w:rsidRPr="008A6F3E">
        <w:rPr>
          <w:lang w:val="en-GB"/>
        </w:rPr>
        <w:t xml:space="preserve">The “Roundtable on Transboundary Collaboration on the Senegalo-Mauritanian Aquifer Basin”, which was held in Geneva on 6 and 7 February 2019, led to strong recommendations and identified States’ major concerns in managing the SMAB aquifers. The conclusions of this important progress meeting will be detailed in the pages below. </w:t>
      </w:r>
    </w:p>
    <w:p w14:paraId="47A4FC39" w14:textId="669C3EF8" w:rsidR="008A6F3E" w:rsidRPr="008A6F3E" w:rsidRDefault="008A6F3E" w:rsidP="008A6F3E">
      <w:pPr>
        <w:pStyle w:val="Heading3"/>
        <w:rPr>
          <w:lang w:val="en-GB"/>
        </w:rPr>
      </w:pPr>
      <w:bookmarkStart w:id="16" w:name="_Toc53651763"/>
      <w:r w:rsidRPr="008A6F3E">
        <w:rPr>
          <w:lang w:val="en-GB"/>
        </w:rPr>
        <w:t>W</w:t>
      </w:r>
      <w:r>
        <w:rPr>
          <w:lang w:val="en-GB"/>
        </w:rPr>
        <w:t>ater Resources Availability in Quantity and Quality</w:t>
      </w:r>
      <w:bookmarkEnd w:id="16"/>
    </w:p>
    <w:p w14:paraId="1F6D0155" w14:textId="4C1844B0" w:rsidR="008A6F3E" w:rsidRPr="008A6F3E" w:rsidRDefault="008A6F3E" w:rsidP="00BB319B">
      <w:pPr>
        <w:pStyle w:val="Heading4"/>
        <w:rPr>
          <w:lang w:val="en-GB"/>
        </w:rPr>
      </w:pPr>
      <w:bookmarkStart w:id="17" w:name="_Toc53651764"/>
      <w:r w:rsidRPr="008A6F3E">
        <w:rPr>
          <w:lang w:val="en-GB"/>
        </w:rPr>
        <w:t>Water availability, a major challenge</w:t>
      </w:r>
      <w:bookmarkEnd w:id="17"/>
      <w:r w:rsidRPr="008A6F3E">
        <w:rPr>
          <w:lang w:val="en-GB"/>
        </w:rPr>
        <w:t xml:space="preserve"> </w:t>
      </w:r>
    </w:p>
    <w:p w14:paraId="33D8DF90" w14:textId="77777777" w:rsidR="008A6F3E" w:rsidRPr="008A6F3E" w:rsidRDefault="008A6F3E" w:rsidP="008A6F3E">
      <w:pPr>
        <w:rPr>
          <w:lang w:val="en-GB"/>
        </w:rPr>
      </w:pPr>
      <w:r w:rsidRPr="008A6F3E">
        <w:rPr>
          <w:lang w:val="en-GB"/>
        </w:rPr>
        <w:t>SMAB countries, that is, Gambia, Guinea Bissau, Mauritania and Senegal, depend on groundwater resources to satisfy their populations’ domestic needs. In rural zones, groundwater is often the only source available to meet water supply needs. Demand is expected to spike due to demographic pressure, climate variability and change, and economic transformation, including populations’ higher standards of living, as well as the development of irrigated agriculture. Urban centres such as the Dakar metropolitan area, as well as Banjul, Bissau and Nouadhibou are already heavily dependent on groundwater from the aquifer basin.</w:t>
      </w:r>
    </w:p>
    <w:p w14:paraId="2DE1A065" w14:textId="77777777" w:rsidR="008A6F3E" w:rsidRDefault="008A6F3E" w:rsidP="008A6F3E">
      <w:pPr>
        <w:rPr>
          <w:lang w:val="en-GB"/>
        </w:rPr>
      </w:pPr>
      <w:r w:rsidRPr="008A6F3E">
        <w:rPr>
          <w:lang w:val="en-GB"/>
        </w:rPr>
        <w:t>Improving knowledge of the aquifer system and groundwater protection are challenges to overcome in order to ensure sufficient availability of water resources to provide populations with access to water, both now and in the future (SDG6), satisfy countries’ industrial and agricultural needs (food security and the fight against poverty). In the context of the Covid-19 pandemic, the availability of water resources has become even more relevant. Additionally, resources need to be evaluated both qualitatively and quantitatively,</w:t>
      </w:r>
      <w:r>
        <w:rPr>
          <w:lang w:val="en-GB"/>
        </w:rPr>
        <w:t xml:space="preserve"> with more regular monitoring. </w:t>
      </w:r>
    </w:p>
    <w:p w14:paraId="45657BC1" w14:textId="217C053C" w:rsidR="008A6F3E" w:rsidRPr="008A6F3E" w:rsidRDefault="008A6F3E" w:rsidP="00BB319B">
      <w:pPr>
        <w:pStyle w:val="Heading4"/>
        <w:rPr>
          <w:lang w:val="en-GB"/>
        </w:rPr>
      </w:pPr>
      <w:bookmarkStart w:id="18" w:name="_Toc53651765"/>
      <w:r w:rsidRPr="008A6F3E">
        <w:rPr>
          <w:lang w:val="en-GB"/>
        </w:rPr>
        <w:t>Improving the knowledge base and water resource monitoring</w:t>
      </w:r>
      <w:bookmarkEnd w:id="18"/>
      <w:r w:rsidRPr="008A6F3E">
        <w:rPr>
          <w:lang w:val="en-GB"/>
        </w:rPr>
        <w:t xml:space="preserve"> </w:t>
      </w:r>
    </w:p>
    <w:p w14:paraId="614977A6" w14:textId="77777777" w:rsidR="008A6F3E" w:rsidRPr="008A6F3E" w:rsidRDefault="008A6F3E" w:rsidP="008A6F3E">
      <w:pPr>
        <w:rPr>
          <w:lang w:val="en-GB"/>
        </w:rPr>
      </w:pPr>
      <w:r w:rsidRPr="008A6F3E">
        <w:rPr>
          <w:lang w:val="en-GB"/>
        </w:rPr>
        <w:t>Though States have undertaken many initiatives aimed at improving knowledge of aquifers, these studies remain limited to the national level, and more often than not, to the local level. Therefore, knowledge of aquifer systems remains ‟fragmented</w:t>
      </w:r>
      <w:r w:rsidRPr="008A6F3E">
        <w:rPr>
          <w:rFonts w:hint="eastAsia"/>
          <w:lang w:val="en-GB"/>
        </w:rPr>
        <w:t>″</w:t>
      </w:r>
      <w:r w:rsidRPr="008A6F3E">
        <w:rPr>
          <w:lang w:val="en-GB"/>
        </w:rPr>
        <w:t xml:space="preserve">, while a general understanding of the resource throughout the entire SMAB is needed. Collecting and monitoring groundwater data, whether on quality, quantity or removal (monitoring extraction) remain a weak link in the groundwater management chain. In some cases, aquifer monitoring is not operational, while in others it is not carried out regularly or long-term, despite the fact that this data is dynamic and requires long-term monitoring in order to become information that is useful for the improvement of aquifer management. </w:t>
      </w:r>
    </w:p>
    <w:p w14:paraId="5A8001A8" w14:textId="77777777" w:rsidR="008A6F3E" w:rsidRPr="008A6F3E" w:rsidRDefault="008A6F3E" w:rsidP="008A6F3E">
      <w:pPr>
        <w:rPr>
          <w:lang w:val="en-GB"/>
        </w:rPr>
      </w:pPr>
      <w:r w:rsidRPr="008A6F3E">
        <w:rPr>
          <w:lang w:val="en-GB"/>
        </w:rPr>
        <w:t>Generally speaking, hydrogeological knowledge should be improved in the following areas:</w:t>
      </w:r>
    </w:p>
    <w:p w14:paraId="7BCC6883" w14:textId="7FEA8FEC" w:rsidR="008A6F3E" w:rsidRPr="008A6F3E" w:rsidRDefault="008A6F3E" w:rsidP="008A6F3E">
      <w:pPr>
        <w:pStyle w:val="ListParagraph"/>
        <w:numPr>
          <w:ilvl w:val="0"/>
          <w:numId w:val="35"/>
        </w:numPr>
        <w:rPr>
          <w:lang w:val="en-GB"/>
        </w:rPr>
      </w:pPr>
      <w:r w:rsidRPr="008A6F3E">
        <w:rPr>
          <w:lang w:val="en-GB"/>
        </w:rPr>
        <w:t>geometric and hydrodynamic configuration of aquifer formations,</w:t>
      </w:r>
    </w:p>
    <w:p w14:paraId="6BD26BAA" w14:textId="50D0C53F" w:rsidR="008A6F3E" w:rsidRPr="008A6F3E" w:rsidRDefault="008A6F3E" w:rsidP="008A6F3E">
      <w:pPr>
        <w:pStyle w:val="ListParagraph"/>
        <w:numPr>
          <w:ilvl w:val="0"/>
          <w:numId w:val="35"/>
        </w:numPr>
        <w:rPr>
          <w:lang w:val="en-GB"/>
        </w:rPr>
      </w:pPr>
      <w:r w:rsidRPr="008A6F3E">
        <w:rPr>
          <w:lang w:val="en-GB"/>
        </w:rPr>
        <w:t xml:space="preserve">recharge zones and renewal volumes with regard to climate variability and change, land use and the potential of artificial recharge,  </w:t>
      </w:r>
    </w:p>
    <w:p w14:paraId="02793F30" w14:textId="1ECBF998" w:rsidR="008A6F3E" w:rsidRPr="008A6F3E" w:rsidRDefault="008A6F3E" w:rsidP="008A6F3E">
      <w:pPr>
        <w:pStyle w:val="ListParagraph"/>
        <w:numPr>
          <w:ilvl w:val="0"/>
          <w:numId w:val="35"/>
        </w:numPr>
        <w:rPr>
          <w:lang w:val="en-GB"/>
        </w:rPr>
      </w:pPr>
      <w:r w:rsidRPr="008A6F3E">
        <w:rPr>
          <w:lang w:val="en-GB"/>
        </w:rPr>
        <w:t xml:space="preserve">the extractable potential at the scale of aquifers being extracted, with regard to current and future services, </w:t>
      </w:r>
    </w:p>
    <w:p w14:paraId="0079D39B" w14:textId="54C268A7" w:rsidR="008A6F3E" w:rsidRPr="008A6F3E" w:rsidRDefault="008A6F3E" w:rsidP="008A6F3E">
      <w:pPr>
        <w:pStyle w:val="ListParagraph"/>
        <w:numPr>
          <w:ilvl w:val="0"/>
          <w:numId w:val="35"/>
        </w:numPr>
        <w:rPr>
          <w:lang w:val="en-GB"/>
        </w:rPr>
      </w:pPr>
      <w:r w:rsidRPr="008A6F3E">
        <w:rPr>
          <w:lang w:val="en-GB"/>
        </w:rPr>
        <w:t xml:space="preserve">the nature and scope of interactions with different waterways from catchment areas under TBO jurisdiction. </w:t>
      </w:r>
    </w:p>
    <w:p w14:paraId="5CB79981" w14:textId="70797BC6" w:rsidR="008A6F3E" w:rsidRPr="008A6F3E" w:rsidRDefault="008A6F3E" w:rsidP="00BB319B">
      <w:pPr>
        <w:pStyle w:val="Heading4"/>
        <w:rPr>
          <w:lang w:val="en-GB"/>
        </w:rPr>
      </w:pPr>
      <w:bookmarkStart w:id="19" w:name="_Toc53651766"/>
      <w:r>
        <w:rPr>
          <w:lang w:val="en-GB"/>
        </w:rPr>
        <w:t>W</w:t>
      </w:r>
      <w:r w:rsidRPr="008A6F3E">
        <w:rPr>
          <w:lang w:val="en-GB"/>
        </w:rPr>
        <w:t>ater quality</w:t>
      </w:r>
      <w:bookmarkEnd w:id="19"/>
      <w:r w:rsidRPr="008A6F3E">
        <w:rPr>
          <w:lang w:val="en-GB"/>
        </w:rPr>
        <w:t xml:space="preserve"> </w:t>
      </w:r>
    </w:p>
    <w:p w14:paraId="0A88E38B" w14:textId="5A0B15A9" w:rsidR="008A6F3E" w:rsidRPr="008A6F3E" w:rsidRDefault="008A6F3E" w:rsidP="008A6F3E">
      <w:pPr>
        <w:rPr>
          <w:lang w:val="en-GB"/>
        </w:rPr>
      </w:pPr>
      <w:r w:rsidRPr="008A6F3E">
        <w:rPr>
          <w:lang w:val="en-GB"/>
        </w:rPr>
        <w:t>The quality of groundwater resources in the SMAB varies widely, and is a major concern depending on the country and aquifer unit. According to various documents that were consulted (DGPRE, 2011; Joseph and Lasry, 2012; NIRVAS, 2015, and others), there are two types of groundwater quality degradation: (1) natural contamination which mainly affects the deep aquifer system, (2) and man</w:t>
      </w:r>
      <w:r w:rsidR="00796FA9">
        <w:rPr>
          <w:lang w:val="en-GB"/>
        </w:rPr>
        <w:t>-</w:t>
      </w:r>
      <w:r w:rsidRPr="008A6F3E">
        <w:rPr>
          <w:lang w:val="en-GB"/>
        </w:rPr>
        <w:t>made pollution, which has a much greater effect on the superficial aquifer system.</w:t>
      </w:r>
    </w:p>
    <w:p w14:paraId="408E11A1" w14:textId="129B0CDF" w:rsidR="008A6F3E" w:rsidRPr="008A6F3E" w:rsidRDefault="008A6F3E" w:rsidP="008A6F3E">
      <w:pPr>
        <w:rPr>
          <w:lang w:val="en-GB"/>
        </w:rPr>
      </w:pPr>
      <w:r w:rsidRPr="008A6F3E">
        <w:rPr>
          <w:lang w:val="en-GB"/>
        </w:rPr>
        <w:t>In the first case, the Maastrichtian aquifer comprises a "central salty zone" in its western zone, with heightened mineralization of 750 to 3,500 mg/l or greater. This "central salty zone" stretches from Mauritania to Cas</w:t>
      </w:r>
      <w:r w:rsidR="00797080">
        <w:rPr>
          <w:lang w:val="en-GB"/>
        </w:rPr>
        <w:t>a</w:t>
      </w:r>
      <w:r w:rsidRPr="008A6F3E">
        <w:rPr>
          <w:lang w:val="en-GB"/>
        </w:rPr>
        <w:t xml:space="preserve">mance, to Senegal in the south, and passing through Gambia. This zone also contains high levels of fluorine, which is well-known for its excellent effects on dental health (dental fluorosis) and the skeletal system (bone fluorosis). Fluorine content averages 2.6 mg/l, and reaches as high as 7 mg/l in certain locations (PEPAN-AQUA, 2013), such as in the intermediary aquifer system in central Senegal, or in the Maastrichtian aquifer, for example, in Banjul, with 5.3 mg/l, while the World Health Organization recommendation is 1.5 mg/l. </w:t>
      </w:r>
    </w:p>
    <w:p w14:paraId="254727EE" w14:textId="77777777" w:rsidR="008A6F3E" w:rsidRPr="008A6F3E" w:rsidRDefault="008A6F3E" w:rsidP="008A6F3E">
      <w:pPr>
        <w:rPr>
          <w:lang w:val="en-GB"/>
        </w:rPr>
      </w:pPr>
      <w:r w:rsidRPr="008A6F3E">
        <w:rPr>
          <w:lang w:val="en-GB"/>
        </w:rPr>
        <w:t>Within the same area, high iron content is also found in various aquifer systems and various locations within the SMAB. High iron content has been observed in the superficial aquifer system in western and central Gambia, where concentrations generally range from 2.5 mg/l to 4 mg/l (NIRVAS, 2015). In southern Senegal, as in northern Guinea Bissau, contents are greater than 3 mg/l.</w:t>
      </w:r>
    </w:p>
    <w:p w14:paraId="35D39227" w14:textId="77777777" w:rsidR="008A6F3E" w:rsidRPr="008A6F3E" w:rsidRDefault="008A6F3E" w:rsidP="008A6F3E">
      <w:pPr>
        <w:rPr>
          <w:lang w:val="en-GB"/>
        </w:rPr>
      </w:pPr>
      <w:r w:rsidRPr="008A6F3E">
        <w:rPr>
          <w:lang w:val="en-GB"/>
        </w:rPr>
        <w:t xml:space="preserve">On the other hand, manmade pollution affects: </w:t>
      </w:r>
    </w:p>
    <w:p w14:paraId="109AC0F5" w14:textId="6D7EDA42" w:rsidR="008A6F3E" w:rsidRPr="008A6F3E" w:rsidRDefault="008A6F3E" w:rsidP="008A6F3E">
      <w:pPr>
        <w:pStyle w:val="ListParagraph"/>
        <w:numPr>
          <w:ilvl w:val="0"/>
          <w:numId w:val="36"/>
        </w:numPr>
        <w:rPr>
          <w:lang w:val="en-GB"/>
        </w:rPr>
      </w:pPr>
      <w:r w:rsidRPr="008A6F3E">
        <w:rPr>
          <w:lang w:val="en-GB"/>
        </w:rPr>
        <w:t xml:space="preserve">aquifers in coastal areas exposed to contamination via the influx of saltwater, due to an inversion of piezometric gradients in major extraction sectors (the Dakar, Bissau and Banjul metropolitan areas) and in a context of climate change and reduced recharge (soil </w:t>
      </w:r>
      <w:r w:rsidR="00256E50">
        <w:rPr>
          <w:lang w:val="en-GB"/>
        </w:rPr>
        <w:t>impermeabilization</w:t>
      </w:r>
      <w:r w:rsidRPr="008A6F3E">
        <w:rPr>
          <w:lang w:val="en-GB"/>
        </w:rPr>
        <w:t>);</w:t>
      </w:r>
    </w:p>
    <w:p w14:paraId="1BE921DE" w14:textId="762E2978" w:rsidR="008A6F3E" w:rsidRPr="008A6F3E" w:rsidRDefault="008A6F3E" w:rsidP="008A6F3E">
      <w:pPr>
        <w:pStyle w:val="ListParagraph"/>
        <w:numPr>
          <w:ilvl w:val="0"/>
          <w:numId w:val="36"/>
        </w:numPr>
        <w:rPr>
          <w:lang w:val="en-GB"/>
        </w:rPr>
      </w:pPr>
      <w:r w:rsidRPr="008A6F3E">
        <w:rPr>
          <w:lang w:val="en-GB"/>
        </w:rPr>
        <w:t>along waterways with the intrusion of saltwater, which affects the water table (Gambia);</w:t>
      </w:r>
    </w:p>
    <w:p w14:paraId="59C4F13A" w14:textId="4613B8EA" w:rsidR="008A6F3E" w:rsidRPr="008A6F3E" w:rsidRDefault="008A6F3E" w:rsidP="008A6F3E">
      <w:pPr>
        <w:pStyle w:val="ListParagraph"/>
        <w:numPr>
          <w:ilvl w:val="0"/>
          <w:numId w:val="36"/>
        </w:numPr>
        <w:rPr>
          <w:lang w:val="en-GB"/>
        </w:rPr>
      </w:pPr>
      <w:r w:rsidRPr="008A6F3E">
        <w:rPr>
          <w:lang w:val="en-GB"/>
        </w:rPr>
        <w:t>salinization of the alluvial groundwater and agricultural land in the Senegal River lower valley and delta (Mauritania, Senegal);</w:t>
      </w:r>
    </w:p>
    <w:p w14:paraId="73672505" w14:textId="52E21AA4" w:rsidR="008A6F3E" w:rsidRPr="008A6F3E" w:rsidRDefault="008A6F3E" w:rsidP="008A6F3E">
      <w:pPr>
        <w:pStyle w:val="ListParagraph"/>
        <w:numPr>
          <w:ilvl w:val="0"/>
          <w:numId w:val="36"/>
        </w:numPr>
        <w:rPr>
          <w:lang w:val="en-GB"/>
        </w:rPr>
      </w:pPr>
      <w:r w:rsidRPr="008A6F3E">
        <w:rPr>
          <w:lang w:val="en-GB"/>
        </w:rPr>
        <w:t>the superficial aquifer system in urban areas (Bissau, Banjul and Dakar metropolitan areas), where, in a context of uncontrolled urbanization, water tables are polluted (nitrate or microbiological pollution) and heavily used by populations via thousands of private wells.</w:t>
      </w:r>
    </w:p>
    <w:p w14:paraId="1D3EF120" w14:textId="1764E3C7" w:rsidR="008A6F3E" w:rsidRDefault="008A6F3E" w:rsidP="008A6F3E">
      <w:pPr>
        <w:pStyle w:val="Heading3"/>
        <w:rPr>
          <w:lang w:val="en-GB"/>
        </w:rPr>
      </w:pPr>
      <w:bookmarkStart w:id="20" w:name="_Toc53651767"/>
      <w:r w:rsidRPr="008A6F3E">
        <w:rPr>
          <w:lang w:val="en-GB"/>
        </w:rPr>
        <w:t>G</w:t>
      </w:r>
      <w:r>
        <w:rPr>
          <w:lang w:val="en-GB"/>
        </w:rPr>
        <w:t>overnance and Sustainable Management Financing</w:t>
      </w:r>
      <w:bookmarkEnd w:id="20"/>
    </w:p>
    <w:p w14:paraId="5466BAC1" w14:textId="6482E30E" w:rsidR="008A6F3E" w:rsidRPr="008A6F3E" w:rsidRDefault="008A6F3E" w:rsidP="00BB319B">
      <w:pPr>
        <w:pStyle w:val="Heading4"/>
        <w:rPr>
          <w:lang w:val="en-GB"/>
        </w:rPr>
      </w:pPr>
      <w:bookmarkStart w:id="21" w:name="_Toc53651768"/>
      <w:r w:rsidRPr="008A6F3E">
        <w:rPr>
          <w:lang w:val="en-GB"/>
        </w:rPr>
        <w:t>Concerted management of transboundary water resources</w:t>
      </w:r>
      <w:bookmarkEnd w:id="21"/>
      <w:r w:rsidRPr="008A6F3E">
        <w:rPr>
          <w:lang w:val="en-GB"/>
        </w:rPr>
        <w:t xml:space="preserve"> </w:t>
      </w:r>
    </w:p>
    <w:p w14:paraId="1EE735E2" w14:textId="172BE720" w:rsidR="008A6F3E" w:rsidRDefault="008A6F3E" w:rsidP="008A6F3E">
      <w:pPr>
        <w:rPr>
          <w:lang w:val="en-GB"/>
        </w:rPr>
      </w:pPr>
      <w:r w:rsidRPr="008A6F3E">
        <w:rPr>
          <w:lang w:val="en-GB"/>
        </w:rPr>
        <w:t>Governing water resources in SMAB countries is a major political, economic and social challenge. Groundwater resources have a real impact on the lives of the populations who depend on them, as well as on the region’s socioeconomic and environmental systems.  They are essential for supplying water to major cities, priority sectors of the economy and water access in rural areas not serviced by surface water extraction. In a context of climate change and growing demand, groundwater is a strategic resource and national concern for SMAB countries. Preserving shared aquifers with sustainable management is only possible through concerted management.</w:t>
      </w:r>
    </w:p>
    <w:p w14:paraId="3FBA4608" w14:textId="77777777" w:rsidR="007B2544" w:rsidRPr="007B2544" w:rsidRDefault="007B2544" w:rsidP="007B2544">
      <w:pPr>
        <w:rPr>
          <w:lang w:val="en-GB"/>
        </w:rPr>
      </w:pPr>
      <w:r w:rsidRPr="007B2544">
        <w:rPr>
          <w:lang w:val="en-GB"/>
        </w:rPr>
        <w:t xml:space="preserve">The four countries concerned do not have a formal agreement on integrated management of the SMAB or exchanging data on quantitative and qualitative changes within the aquifers. Nonetheless, the countries do have a long tradition of sharing data and jointly managing hydraulic infrastructure via the two TBOs (OMVS and OMVG). These bodies are also essential mechanisms for managing transboundary waterways and have developed initiatives for piezometric monitoring of alluvial or superficial aquifers. At the international level, the States participate in platforms aimed at cooperation and sharing, such as the ANBO, AMCOW or ECOWAS. </w:t>
      </w:r>
      <w:r w:rsidRPr="007B2544">
        <w:rPr>
          <w:i/>
          <w:lang w:val="en-GB"/>
        </w:rPr>
        <w:t>Additionally, since 2018, Senegal has been a Party to the Water Convention, and Gambia and Mauritania have expressed their interest in joining. Nonbinding instruments developed under the Convention can help define common management rules, including “Model provisions on transboundary groundwaters”.</w:t>
      </w:r>
      <w:r w:rsidRPr="007B2544">
        <w:rPr>
          <w:lang w:val="en-GB"/>
        </w:rPr>
        <w:t xml:space="preserve"> </w:t>
      </w:r>
    </w:p>
    <w:p w14:paraId="2FA358EA" w14:textId="77777777" w:rsidR="007B2544" w:rsidRDefault="007B2544" w:rsidP="007B2544">
      <w:pPr>
        <w:rPr>
          <w:i/>
          <w:iCs/>
          <w:lang w:val="en-GB"/>
        </w:rPr>
      </w:pPr>
      <w:r w:rsidRPr="007B2544">
        <w:rPr>
          <w:i/>
          <w:iCs/>
          <w:lang w:val="en-GB"/>
        </w:rPr>
        <w:t>Concerted manage</w:t>
      </w:r>
      <w:r>
        <w:rPr>
          <w:i/>
          <w:iCs/>
          <w:lang w:val="en-GB"/>
        </w:rPr>
        <w:t>ment can be a powerful tool for:</w:t>
      </w:r>
    </w:p>
    <w:p w14:paraId="63EC9B8D" w14:textId="77777777" w:rsidR="007B2544" w:rsidRPr="007B2544" w:rsidRDefault="007B2544" w:rsidP="007B2544">
      <w:pPr>
        <w:pStyle w:val="ListParagraph"/>
        <w:numPr>
          <w:ilvl w:val="0"/>
          <w:numId w:val="38"/>
        </w:numPr>
        <w:rPr>
          <w:i/>
          <w:iCs/>
          <w:lang w:val="en-GB"/>
        </w:rPr>
      </w:pPr>
      <w:r w:rsidRPr="007B2544">
        <w:rPr>
          <w:lang w:val="en-GB"/>
        </w:rPr>
        <w:t>operationalizing a data/information exchange system and knowledge and data production on shared aquifers</w:t>
      </w:r>
    </w:p>
    <w:p w14:paraId="641D432A" w14:textId="7C1350D5" w:rsidR="007B2544" w:rsidRPr="007B2544" w:rsidRDefault="000564C4" w:rsidP="007B2544">
      <w:pPr>
        <w:pStyle w:val="ListParagraph"/>
        <w:numPr>
          <w:ilvl w:val="0"/>
          <w:numId w:val="38"/>
        </w:numPr>
        <w:rPr>
          <w:i/>
          <w:iCs/>
          <w:lang w:val="en-GB"/>
        </w:rPr>
      </w:pPr>
      <w:r>
        <w:rPr>
          <w:lang w:val="en-GB"/>
        </w:rPr>
        <w:t xml:space="preserve">progressive </w:t>
      </w:r>
      <w:r w:rsidR="007B2544" w:rsidRPr="007B2544">
        <w:rPr>
          <w:lang w:val="en-GB"/>
        </w:rPr>
        <w:t>harmonizing</w:t>
      </w:r>
      <w:r>
        <w:rPr>
          <w:lang w:val="en-GB"/>
        </w:rPr>
        <w:t xml:space="preserve"> of approaches and exchange of</w:t>
      </w:r>
      <w:r w:rsidR="007B2544" w:rsidRPr="007B2544">
        <w:rPr>
          <w:lang w:val="en-GB"/>
        </w:rPr>
        <w:t xml:space="preserve"> good practices</w:t>
      </w:r>
    </w:p>
    <w:p w14:paraId="023432B7" w14:textId="77777777" w:rsidR="007B2544" w:rsidRPr="007B2544" w:rsidRDefault="007B2544" w:rsidP="007B2544">
      <w:pPr>
        <w:pStyle w:val="ListParagraph"/>
        <w:numPr>
          <w:ilvl w:val="0"/>
          <w:numId w:val="38"/>
        </w:numPr>
        <w:rPr>
          <w:i/>
          <w:iCs/>
          <w:lang w:val="en-GB"/>
        </w:rPr>
      </w:pPr>
      <w:r w:rsidRPr="007B2544">
        <w:rPr>
          <w:lang w:val="en-GB"/>
        </w:rPr>
        <w:t xml:space="preserve">reconciling divergent interests and identifying opportunities for mutually beneficial activities </w:t>
      </w:r>
    </w:p>
    <w:p w14:paraId="2973B581" w14:textId="1269DC46" w:rsidR="007B2544" w:rsidRPr="007B2544" w:rsidRDefault="007B2544" w:rsidP="007B2544">
      <w:pPr>
        <w:pStyle w:val="ListParagraph"/>
        <w:numPr>
          <w:ilvl w:val="0"/>
          <w:numId w:val="38"/>
        </w:numPr>
        <w:rPr>
          <w:i/>
          <w:iCs/>
          <w:lang w:val="en-GB"/>
        </w:rPr>
      </w:pPr>
      <w:r w:rsidRPr="007B2544">
        <w:rPr>
          <w:lang w:val="en-GB"/>
        </w:rPr>
        <w:t xml:space="preserve">boosting technical and institutional capacities among SMAB States. </w:t>
      </w:r>
    </w:p>
    <w:p w14:paraId="74817437" w14:textId="55AFEFBC" w:rsidR="007B2544" w:rsidRPr="007B2544" w:rsidRDefault="007B2544" w:rsidP="00BB319B">
      <w:pPr>
        <w:pStyle w:val="Heading4"/>
        <w:rPr>
          <w:lang w:val="en-GB"/>
        </w:rPr>
      </w:pPr>
      <w:bookmarkStart w:id="22" w:name="_Toc53651769"/>
      <w:r w:rsidRPr="007B2544">
        <w:rPr>
          <w:lang w:val="en-GB"/>
        </w:rPr>
        <w:t>Sustainable management financing</w:t>
      </w:r>
      <w:bookmarkEnd w:id="22"/>
      <w:r w:rsidRPr="007B2544">
        <w:rPr>
          <w:lang w:val="en-GB"/>
        </w:rPr>
        <w:t xml:space="preserve"> </w:t>
      </w:r>
    </w:p>
    <w:p w14:paraId="255454FF" w14:textId="77777777" w:rsidR="007B2544" w:rsidRPr="007B2544" w:rsidRDefault="007B2544" w:rsidP="007B2544">
      <w:pPr>
        <w:rPr>
          <w:lang w:val="en-GB"/>
        </w:rPr>
      </w:pPr>
      <w:r w:rsidRPr="007B2544">
        <w:rPr>
          <w:lang w:val="en-GB"/>
        </w:rPr>
        <w:t>Monitoring and acquiring data on groundwater, both in terms of resource quality and availability, are essential to any effective aquifer management. This process includes designing a system for monitoring, collecting, handling and interpreting data in order to respond to a series of well-defined information needs, for management purposes. Independently of creating infrastructure, financing these matters remains a concern in all SMAB countries. Previous attempts at sustaining monitoring systems have failed, notably due to a lack of sufficient financial resources. In most cases, data collection is financed on a project basis, and is often not continued beyond that phase. Additionally, mechanisms for financing via multilateral cooperation are generally not designed to produce knowledge or share data without a project aimed at resource extraction.</w:t>
      </w:r>
    </w:p>
    <w:p w14:paraId="3F90EA3A" w14:textId="4136D9DA" w:rsidR="00CD5A06" w:rsidRPr="007B2544" w:rsidRDefault="007B2544" w:rsidP="001F1DF3">
      <w:pPr>
        <w:rPr>
          <w:lang w:val="en-GB"/>
        </w:rPr>
      </w:pPr>
      <w:r w:rsidRPr="007B2544">
        <w:rPr>
          <w:lang w:val="en-GB"/>
        </w:rPr>
        <w:t xml:space="preserve">In order to perpetuate monitoring SMAB resources, it was important to implement an independent financial mechanism that does not depend on external financing. Financing initiatives exist, including: </w:t>
      </w:r>
    </w:p>
    <w:p w14:paraId="4D3D69E4" w14:textId="6154AB59" w:rsidR="007B2544" w:rsidRPr="00CD5A06" w:rsidRDefault="007B2544" w:rsidP="00CD5A06">
      <w:pPr>
        <w:pStyle w:val="ListParagraph"/>
        <w:numPr>
          <w:ilvl w:val="0"/>
          <w:numId w:val="43"/>
        </w:numPr>
        <w:rPr>
          <w:lang w:val="en-GB"/>
        </w:rPr>
      </w:pPr>
      <w:r w:rsidRPr="00CD5A06">
        <w:rPr>
          <w:lang w:val="en-GB"/>
        </w:rPr>
        <w:t>in Guinea Bissau, with the creation of the National Water Fund,</w:t>
      </w:r>
    </w:p>
    <w:p w14:paraId="481424B9" w14:textId="777327D1" w:rsidR="007B2544" w:rsidRPr="00CD5A06" w:rsidRDefault="007B2544" w:rsidP="00CD5A06">
      <w:pPr>
        <w:pStyle w:val="ListParagraph"/>
        <w:numPr>
          <w:ilvl w:val="0"/>
          <w:numId w:val="43"/>
        </w:numPr>
        <w:rPr>
          <w:lang w:val="en-GB"/>
        </w:rPr>
      </w:pPr>
      <w:r w:rsidRPr="00CD5A06">
        <w:rPr>
          <w:lang w:val="en-GB"/>
        </w:rPr>
        <w:t xml:space="preserve">in Mauritania, with the creation of a tax on any company engaged in water extraction, with the aim of financing resource monitoring and </w:t>
      </w:r>
    </w:p>
    <w:p w14:paraId="47D19F54" w14:textId="2EC2191B" w:rsidR="007B2544" w:rsidRPr="00CD5A06" w:rsidRDefault="007B2544" w:rsidP="00CD5A06">
      <w:pPr>
        <w:pStyle w:val="ListParagraph"/>
        <w:numPr>
          <w:ilvl w:val="0"/>
          <w:numId w:val="43"/>
        </w:numPr>
        <w:rPr>
          <w:lang w:val="en-GB"/>
        </w:rPr>
      </w:pPr>
      <w:r w:rsidRPr="00CD5A06">
        <w:rPr>
          <w:lang w:val="en-GB"/>
        </w:rPr>
        <w:t>in Senegal, with the implementation of a fee-supported dewatering fund which partly finances water resource monitoring.</w:t>
      </w:r>
    </w:p>
    <w:p w14:paraId="4FDA365A" w14:textId="0B491B21" w:rsidR="007B2544" w:rsidRPr="007B2544" w:rsidRDefault="007B2544" w:rsidP="007B2544">
      <w:pPr>
        <w:pStyle w:val="Heading3"/>
        <w:rPr>
          <w:lang w:val="en-GB"/>
        </w:rPr>
      </w:pPr>
      <w:bookmarkStart w:id="23" w:name="_Toc53651770"/>
      <w:r w:rsidRPr="007B2544">
        <w:rPr>
          <w:lang w:val="en-GB"/>
        </w:rPr>
        <w:t>C</w:t>
      </w:r>
      <w:r>
        <w:rPr>
          <w:lang w:val="en-GB"/>
        </w:rPr>
        <w:t>ooperation, Peace and Security in SMAB Countries</w:t>
      </w:r>
      <w:bookmarkEnd w:id="23"/>
    </w:p>
    <w:p w14:paraId="0163F690" w14:textId="36880C10" w:rsidR="007B2544" w:rsidRPr="007B2544" w:rsidRDefault="007B2544" w:rsidP="007B2544">
      <w:pPr>
        <w:rPr>
          <w:lang w:val="en-GB"/>
        </w:rPr>
      </w:pPr>
      <w:r w:rsidRPr="007B2544">
        <w:rPr>
          <w:lang w:val="en-GB"/>
        </w:rPr>
        <w:t>In an arid and semiarid environment like the SMAB, the rising demand for water is aggravated by the availability of water resources, in a context of climate change, which has a visible and immediate effect on surface water. For example, the average flow of the Gambia River dropped by 35 per cent between 1970-2001 compared to the period between 1953-1970 (NIRVAS, 2015). Against this backdrop, the use of groundwater is more valued and subject to heightened competition, which may become an additional factor of domestic</w:t>
      </w:r>
      <w:r w:rsidR="0063437E">
        <w:rPr>
          <w:lang w:val="en-GB"/>
        </w:rPr>
        <w:t>,</w:t>
      </w:r>
      <w:r w:rsidRPr="007B2544">
        <w:rPr>
          <w:lang w:val="en-GB"/>
        </w:rPr>
        <w:t xml:space="preserve"> regional</w:t>
      </w:r>
      <w:r w:rsidR="0063437E">
        <w:rPr>
          <w:lang w:val="en-GB"/>
        </w:rPr>
        <w:t>,</w:t>
      </w:r>
      <w:r w:rsidRPr="007B2544">
        <w:rPr>
          <w:lang w:val="en-GB"/>
        </w:rPr>
        <w:t xml:space="preserve"> social and political instability.</w:t>
      </w:r>
    </w:p>
    <w:p w14:paraId="72F699F2" w14:textId="6AD54F1F" w:rsidR="007B2544" w:rsidRPr="007B2544" w:rsidRDefault="007B2544" w:rsidP="007B2544">
      <w:pPr>
        <w:rPr>
          <w:lang w:val="en-GB"/>
        </w:rPr>
      </w:pPr>
      <w:r w:rsidRPr="007B2544">
        <w:rPr>
          <w:lang w:val="en-GB"/>
        </w:rPr>
        <w:t>It is imperative that SMAB countries guarantee the security of their populations’ water supply, while also ensuring basic social needs. Social stability is at stake, and is already a major concern, particularly in hotspots such as Banjul, Bissau or Dakar, which are home to urban populations, and their demands in terms of</w:t>
      </w:r>
      <w:r w:rsidR="0063437E">
        <w:rPr>
          <w:lang w:val="en-GB"/>
        </w:rPr>
        <w:t xml:space="preserve"> sustainable accessibility to sufficient</w:t>
      </w:r>
      <w:r w:rsidRPr="007B2544">
        <w:rPr>
          <w:lang w:val="en-GB"/>
        </w:rPr>
        <w:t xml:space="preserve"> quantity and </w:t>
      </w:r>
      <w:r w:rsidR="0063437E">
        <w:rPr>
          <w:lang w:val="en-GB"/>
        </w:rPr>
        <w:t xml:space="preserve">good </w:t>
      </w:r>
      <w:r w:rsidRPr="007B2544">
        <w:rPr>
          <w:lang w:val="en-GB"/>
        </w:rPr>
        <w:t xml:space="preserve">quality water. </w:t>
      </w:r>
    </w:p>
    <w:p w14:paraId="797CDC7C" w14:textId="7B5858A5" w:rsidR="007B2544" w:rsidRPr="007B2544" w:rsidRDefault="007B2544" w:rsidP="007B2544">
      <w:pPr>
        <w:rPr>
          <w:lang w:val="en-GB"/>
        </w:rPr>
      </w:pPr>
      <w:r w:rsidRPr="007B2544">
        <w:rPr>
          <w:lang w:val="en-GB"/>
        </w:rPr>
        <w:t xml:space="preserve">Even if the SMAB countries have a longstanding culture of cooperation in the area of shared water resources, </w:t>
      </w:r>
      <w:r w:rsidR="00C536DB">
        <w:rPr>
          <w:lang w:val="en-GB"/>
        </w:rPr>
        <w:t>it</w:t>
      </w:r>
      <w:r w:rsidR="00C536DB" w:rsidRPr="007B2544">
        <w:rPr>
          <w:lang w:val="en-GB"/>
        </w:rPr>
        <w:t xml:space="preserve"> </w:t>
      </w:r>
      <w:r w:rsidRPr="007B2544">
        <w:rPr>
          <w:lang w:val="en-GB"/>
        </w:rPr>
        <w:t>is only with regard to surface water</w:t>
      </w:r>
      <w:r w:rsidR="0071734F">
        <w:rPr>
          <w:lang w:val="en-GB"/>
        </w:rPr>
        <w:t>;</w:t>
      </w:r>
      <w:r w:rsidRPr="007B2544">
        <w:rPr>
          <w:lang w:val="en-GB"/>
        </w:rPr>
        <w:t xml:space="preserve"> </w:t>
      </w:r>
      <w:r w:rsidR="0071734F">
        <w:rPr>
          <w:lang w:val="en-GB"/>
        </w:rPr>
        <w:t>the latter</w:t>
      </w:r>
      <w:r w:rsidR="00C536DB">
        <w:rPr>
          <w:lang w:val="en-GB"/>
        </w:rPr>
        <w:t xml:space="preserve"> </w:t>
      </w:r>
      <w:r w:rsidR="0071734F">
        <w:rPr>
          <w:lang w:val="en-GB"/>
        </w:rPr>
        <w:t>is</w:t>
      </w:r>
      <w:r w:rsidR="00C536DB">
        <w:rPr>
          <w:lang w:val="en-GB"/>
        </w:rPr>
        <w:t xml:space="preserve"> not main water supply source of population</w:t>
      </w:r>
      <w:r w:rsidRPr="007B2544">
        <w:rPr>
          <w:lang w:val="en-GB"/>
        </w:rPr>
        <w:t>, with a few specific exceptions (for example, Nouakchott)</w:t>
      </w:r>
      <w:r w:rsidR="00C536DB" w:rsidRPr="007B2544" w:rsidDel="00C536DB">
        <w:rPr>
          <w:lang w:val="en-GB"/>
        </w:rPr>
        <w:t xml:space="preserve"> </w:t>
      </w:r>
      <w:r w:rsidRPr="007B2544">
        <w:rPr>
          <w:lang w:val="en-GB"/>
        </w:rPr>
        <w:t xml:space="preserve">  Cooperation with regard to shared water resources should increase trust via the management of strategic “shared infrastructure” in the SMAB. The joint communique published following the visit of the President of Senegal with his counterpart in the Islamic Republic of Mauritania is a strong signal and show of political will; the communique calls on both States to continue their efforts, along with other countries, with a view toward achieving concerted and sustainable management objectives in the Senegalo-Mauritanian Aquifer Basin (SMAB). </w:t>
      </w:r>
    </w:p>
    <w:p w14:paraId="46238B4A" w14:textId="33B57CBD" w:rsidR="007B2544" w:rsidRPr="007B2544" w:rsidRDefault="007B2544" w:rsidP="007B2544">
      <w:pPr>
        <w:pStyle w:val="Heading2"/>
        <w:rPr>
          <w:lang w:val="en-GB"/>
        </w:rPr>
      </w:pPr>
      <w:bookmarkStart w:id="24" w:name="_Toc53651771"/>
      <w:r w:rsidRPr="007B2544">
        <w:rPr>
          <w:lang w:val="en-GB"/>
        </w:rPr>
        <w:t>S</w:t>
      </w:r>
      <w:r w:rsidR="00F06C0B">
        <w:rPr>
          <w:lang w:val="en-GB"/>
        </w:rPr>
        <w:t>ervices Provided by SMAB Aquife</w:t>
      </w:r>
      <w:r>
        <w:rPr>
          <w:lang w:val="en-GB"/>
        </w:rPr>
        <w:t>r</w:t>
      </w:r>
      <w:r w:rsidR="00F06C0B">
        <w:rPr>
          <w:lang w:val="en-GB"/>
        </w:rPr>
        <w:t>s</w:t>
      </w:r>
      <w:bookmarkEnd w:id="24"/>
    </w:p>
    <w:p w14:paraId="5CA374AA" w14:textId="2D0605E8" w:rsidR="007B2544" w:rsidRPr="007B2544" w:rsidRDefault="007B2544" w:rsidP="007B2544">
      <w:pPr>
        <w:pStyle w:val="Heading3"/>
        <w:rPr>
          <w:lang w:val="en-GB"/>
        </w:rPr>
      </w:pPr>
      <w:bookmarkStart w:id="25" w:name="_Toc53651772"/>
      <w:r w:rsidRPr="007B2544">
        <w:rPr>
          <w:lang w:val="en-GB"/>
        </w:rPr>
        <w:t>D</w:t>
      </w:r>
      <w:r>
        <w:rPr>
          <w:lang w:val="en-GB"/>
        </w:rPr>
        <w:t>omestic, Agricultural, Industrial &amp; Tourism Extractions</w:t>
      </w:r>
      <w:bookmarkEnd w:id="25"/>
      <w:r>
        <w:rPr>
          <w:lang w:val="en-GB"/>
        </w:rPr>
        <w:t xml:space="preserve"> </w:t>
      </w:r>
    </w:p>
    <w:p w14:paraId="05BF9559" w14:textId="1633C7B5" w:rsidR="007B2544" w:rsidRPr="007B2544" w:rsidRDefault="007B2544" w:rsidP="00BB319B">
      <w:pPr>
        <w:pStyle w:val="Heading4"/>
        <w:rPr>
          <w:lang w:val="en-GB"/>
        </w:rPr>
      </w:pPr>
      <w:bookmarkStart w:id="26" w:name="_Toc53651773"/>
      <w:r w:rsidRPr="007B2544">
        <w:rPr>
          <w:lang w:val="en-GB"/>
        </w:rPr>
        <w:t>Domestic extraction</w:t>
      </w:r>
      <w:bookmarkEnd w:id="26"/>
    </w:p>
    <w:p w14:paraId="21D126EA" w14:textId="77777777" w:rsidR="007B2544" w:rsidRPr="007B2544" w:rsidRDefault="007B2544" w:rsidP="007B2544">
      <w:pPr>
        <w:rPr>
          <w:lang w:val="en-GB"/>
        </w:rPr>
      </w:pPr>
      <w:r w:rsidRPr="007B2544">
        <w:rPr>
          <w:lang w:val="en-GB"/>
        </w:rPr>
        <w:t xml:space="preserve">Groundwater is a major source of drinking water for urban and rural communities in SMAB States. Most urban water supply systems are fed via boreholes, with the exception of major urban areas such as Dakar and Nouakchott. Initially, these areas were also supplied by aquifers, but as of 1972 and 2011 respectively, they began using surface waters, which now comprise half and two-thirds of the total water supply in each city, respectively. Nonetheless, cities near the Senegal River and the upper part of the Gambia River are equally dependent on surface waters. Due to the high salinity in the downstream part of the Gambia River, Gambia depends exclusively on groundwater. In Senegal, 50 of the 66 urban centres under the control of the national water supply company are supplied largely or exclusively by groundwater. No national data has been found for Guinea Bissau and Mauritania, but it appears that groundwater is also the main source of drinking water in these countries. In all four countries, most rural areas exclusively depend on groundwater to meet their needs. </w:t>
      </w:r>
    </w:p>
    <w:p w14:paraId="6FCE9F98" w14:textId="02CD4529" w:rsidR="007B2544" w:rsidRDefault="007B2544" w:rsidP="007B2544">
      <w:pPr>
        <w:rPr>
          <w:lang w:val="en-GB"/>
        </w:rPr>
      </w:pPr>
      <w:r w:rsidRPr="007B2544">
        <w:rPr>
          <w:lang w:val="en-GB"/>
        </w:rPr>
        <w:t xml:space="preserve">Tables 3 and 4 present data on the rates of water use by geographical sector in SMAB countries. </w:t>
      </w:r>
    </w:p>
    <w:p w14:paraId="17E2E8EC" w14:textId="77777777" w:rsidR="001F1DF3" w:rsidRDefault="001F1DF3" w:rsidP="007B2544">
      <w:pPr>
        <w:rPr>
          <w:lang w:val="en-GB"/>
        </w:rPr>
      </w:pPr>
    </w:p>
    <w:p w14:paraId="0A4E71BF" w14:textId="7AC84678" w:rsidR="007B2544" w:rsidRDefault="007B2544" w:rsidP="007B2544">
      <w:pPr>
        <w:rPr>
          <w:lang w:val="en-GB"/>
        </w:rPr>
      </w:pPr>
      <w:r w:rsidRPr="007B2544">
        <w:rPr>
          <w:lang w:val="en-GB"/>
        </w:rPr>
        <w:t>Table 3: Population distribution in SMAB countries (UN, 2018)</w:t>
      </w:r>
    </w:p>
    <w:tbl>
      <w:tblPr>
        <w:tblStyle w:val="GridTable5Dark-Accent11"/>
        <w:tblW w:w="5000" w:type="pct"/>
        <w:tblLook w:val="04A0" w:firstRow="1" w:lastRow="0" w:firstColumn="1" w:lastColumn="0" w:noHBand="0" w:noVBand="1"/>
      </w:tblPr>
      <w:tblGrid>
        <w:gridCol w:w="2049"/>
        <w:gridCol w:w="1595"/>
        <w:gridCol w:w="2196"/>
        <w:gridCol w:w="2186"/>
        <w:gridCol w:w="1604"/>
      </w:tblGrid>
      <w:tr w:rsidR="007B2544" w:rsidRPr="007B2544" w14:paraId="230F9B6D" w14:textId="77777777" w:rsidTr="007B2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tcPr>
          <w:p w14:paraId="60A8622A" w14:textId="77777777" w:rsidR="007B2544" w:rsidRPr="007B2544" w:rsidRDefault="007B2544" w:rsidP="007B2544">
            <w:pPr>
              <w:spacing w:before="0" w:after="0"/>
              <w:ind w:left="0"/>
              <w:jc w:val="left"/>
              <w:rPr>
                <w:rFonts w:ascii="Calibri" w:hAnsi="Calibri"/>
                <w:szCs w:val="22"/>
                <w:lang w:eastAsia="en-US"/>
              </w:rPr>
            </w:pPr>
            <w:r w:rsidRPr="007B2544">
              <w:rPr>
                <w:rFonts w:ascii="Calibri" w:hAnsi="Calibri"/>
                <w:szCs w:val="22"/>
                <w:lang w:eastAsia="en-US"/>
              </w:rPr>
              <w:t>Population</w:t>
            </w:r>
          </w:p>
        </w:tc>
        <w:tc>
          <w:tcPr>
            <w:tcW w:w="828" w:type="pct"/>
          </w:tcPr>
          <w:p w14:paraId="36CADA5F" w14:textId="77777777" w:rsidR="007B2544" w:rsidRPr="007B2544" w:rsidRDefault="007B2544" w:rsidP="007B2544">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7B2544">
              <w:rPr>
                <w:rFonts w:ascii="Calibri" w:hAnsi="Calibri"/>
                <w:szCs w:val="22"/>
                <w:lang w:eastAsia="en-US"/>
              </w:rPr>
              <w:t>Guinea-Bissau</w:t>
            </w:r>
          </w:p>
        </w:tc>
        <w:tc>
          <w:tcPr>
            <w:tcW w:w="1140" w:type="pct"/>
          </w:tcPr>
          <w:p w14:paraId="1F2844AE" w14:textId="77777777" w:rsidR="007B2544" w:rsidRPr="007B2544" w:rsidRDefault="007B2544" w:rsidP="007B2544">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7B2544">
              <w:rPr>
                <w:rFonts w:ascii="Calibri" w:hAnsi="Calibri"/>
                <w:szCs w:val="22"/>
                <w:lang w:eastAsia="en-US"/>
              </w:rPr>
              <w:t>Gambia</w:t>
            </w:r>
          </w:p>
        </w:tc>
        <w:tc>
          <w:tcPr>
            <w:tcW w:w="1135" w:type="pct"/>
          </w:tcPr>
          <w:p w14:paraId="66DF9CB4" w14:textId="77777777" w:rsidR="007B2544" w:rsidRPr="007B2544" w:rsidRDefault="007B2544" w:rsidP="007B2544">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7B2544">
              <w:rPr>
                <w:rFonts w:ascii="Calibri" w:hAnsi="Calibri"/>
                <w:szCs w:val="22"/>
                <w:lang w:eastAsia="en-US"/>
              </w:rPr>
              <w:t>Senegal</w:t>
            </w:r>
          </w:p>
        </w:tc>
        <w:tc>
          <w:tcPr>
            <w:tcW w:w="833" w:type="pct"/>
          </w:tcPr>
          <w:p w14:paraId="2B8B88E6" w14:textId="77777777" w:rsidR="007B2544" w:rsidRPr="007B2544" w:rsidRDefault="007B2544" w:rsidP="007B2544">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7B2544">
              <w:rPr>
                <w:rFonts w:ascii="Calibri" w:hAnsi="Calibri"/>
                <w:szCs w:val="22"/>
                <w:lang w:eastAsia="en-US"/>
              </w:rPr>
              <w:t>Mauritania</w:t>
            </w:r>
          </w:p>
        </w:tc>
      </w:tr>
      <w:tr w:rsidR="007B2544" w:rsidRPr="007B2544" w14:paraId="5C0AF553" w14:textId="77777777" w:rsidTr="007B2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tcPr>
          <w:p w14:paraId="28CA5D18" w14:textId="77777777" w:rsidR="007B2544" w:rsidRPr="007B2544" w:rsidRDefault="007B2544" w:rsidP="007B2544">
            <w:pPr>
              <w:spacing w:before="0" w:after="0"/>
              <w:ind w:left="0"/>
              <w:jc w:val="left"/>
              <w:rPr>
                <w:rFonts w:ascii="Calibri" w:hAnsi="Calibri"/>
                <w:szCs w:val="22"/>
                <w:lang w:eastAsia="en-US"/>
              </w:rPr>
            </w:pPr>
            <w:r w:rsidRPr="007B2544">
              <w:rPr>
                <w:rFonts w:ascii="Calibri" w:hAnsi="Calibri"/>
                <w:szCs w:val="22"/>
                <w:lang w:eastAsia="en-US"/>
              </w:rPr>
              <w:t>Country</w:t>
            </w:r>
          </w:p>
        </w:tc>
        <w:tc>
          <w:tcPr>
            <w:tcW w:w="828" w:type="pct"/>
          </w:tcPr>
          <w:p w14:paraId="766239E8" w14:textId="77777777" w:rsidR="007B2544" w:rsidRPr="007B2544" w:rsidRDefault="007B2544" w:rsidP="007B254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1,907,000</w:t>
            </w:r>
          </w:p>
        </w:tc>
        <w:tc>
          <w:tcPr>
            <w:tcW w:w="1140" w:type="pct"/>
          </w:tcPr>
          <w:p w14:paraId="31547178" w14:textId="77777777" w:rsidR="007B2544" w:rsidRPr="007B2544" w:rsidRDefault="007B2544" w:rsidP="007B254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2,164,000</w:t>
            </w:r>
          </w:p>
        </w:tc>
        <w:tc>
          <w:tcPr>
            <w:tcW w:w="1135" w:type="pct"/>
          </w:tcPr>
          <w:p w14:paraId="0F91C98F" w14:textId="77777777" w:rsidR="007B2544" w:rsidRPr="007B2544" w:rsidRDefault="007B2544" w:rsidP="007B254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16,294,000</w:t>
            </w:r>
          </w:p>
        </w:tc>
        <w:tc>
          <w:tcPr>
            <w:tcW w:w="833" w:type="pct"/>
          </w:tcPr>
          <w:p w14:paraId="66EE38EE" w14:textId="77777777" w:rsidR="007B2544" w:rsidRPr="007B2544" w:rsidRDefault="007B2544" w:rsidP="007B254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4,540,000</w:t>
            </w:r>
          </w:p>
        </w:tc>
      </w:tr>
      <w:tr w:rsidR="007B2544" w:rsidRPr="007B2544" w14:paraId="60F4CF5A" w14:textId="77777777" w:rsidTr="007B2544">
        <w:tc>
          <w:tcPr>
            <w:cnfStyle w:val="001000000000" w:firstRow="0" w:lastRow="0" w:firstColumn="1" w:lastColumn="0" w:oddVBand="0" w:evenVBand="0" w:oddHBand="0" w:evenHBand="0" w:firstRowFirstColumn="0" w:firstRowLastColumn="0" w:lastRowFirstColumn="0" w:lastRowLastColumn="0"/>
            <w:tcW w:w="1064" w:type="pct"/>
          </w:tcPr>
          <w:p w14:paraId="2B725C74" w14:textId="77777777" w:rsidR="007B2544" w:rsidRPr="007B2544" w:rsidRDefault="007B2544" w:rsidP="007B2544">
            <w:pPr>
              <w:spacing w:before="0" w:after="0"/>
              <w:ind w:left="0"/>
              <w:jc w:val="left"/>
              <w:rPr>
                <w:rFonts w:ascii="Calibri" w:hAnsi="Calibri"/>
                <w:szCs w:val="22"/>
                <w:lang w:eastAsia="en-US"/>
              </w:rPr>
            </w:pPr>
            <w:r w:rsidRPr="007B2544">
              <w:rPr>
                <w:rFonts w:ascii="Calibri" w:hAnsi="Calibri"/>
                <w:szCs w:val="22"/>
                <w:lang w:eastAsia="en-US"/>
              </w:rPr>
              <w:t>Urban (%)</w:t>
            </w:r>
          </w:p>
        </w:tc>
        <w:tc>
          <w:tcPr>
            <w:tcW w:w="828" w:type="pct"/>
          </w:tcPr>
          <w:p w14:paraId="5D5185D0" w14:textId="77777777" w:rsidR="007B2544" w:rsidRPr="007B2544" w:rsidRDefault="007B2544" w:rsidP="007B254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827,000 (43.4%)</w:t>
            </w:r>
          </w:p>
        </w:tc>
        <w:tc>
          <w:tcPr>
            <w:tcW w:w="1140" w:type="pct"/>
          </w:tcPr>
          <w:p w14:paraId="1B8754D5" w14:textId="77777777" w:rsidR="007B2544" w:rsidRPr="007B2544" w:rsidRDefault="007B2544" w:rsidP="007B254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1,326,000 (61.3%)</w:t>
            </w:r>
          </w:p>
        </w:tc>
        <w:tc>
          <w:tcPr>
            <w:tcW w:w="1135" w:type="pct"/>
          </w:tcPr>
          <w:p w14:paraId="31CE21CF" w14:textId="77777777" w:rsidR="007B2544" w:rsidRPr="007B2544" w:rsidRDefault="007B2544" w:rsidP="007B254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7,690,000 (47.2%)</w:t>
            </w:r>
          </w:p>
        </w:tc>
        <w:tc>
          <w:tcPr>
            <w:tcW w:w="833" w:type="pct"/>
          </w:tcPr>
          <w:p w14:paraId="4BF3BF0A" w14:textId="77777777" w:rsidR="007B2544" w:rsidRPr="007B2544" w:rsidRDefault="007B2544" w:rsidP="007B254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2,437,000 (53.7%)</w:t>
            </w:r>
          </w:p>
        </w:tc>
      </w:tr>
      <w:tr w:rsidR="007B2544" w:rsidRPr="007B2544" w14:paraId="7C25E6FB" w14:textId="77777777" w:rsidTr="007B2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tcPr>
          <w:p w14:paraId="2AC39F0A" w14:textId="77777777" w:rsidR="007B2544" w:rsidRPr="007B2544" w:rsidRDefault="007B2544" w:rsidP="007B2544">
            <w:pPr>
              <w:spacing w:before="0" w:after="0"/>
              <w:ind w:left="0"/>
              <w:jc w:val="left"/>
              <w:rPr>
                <w:rFonts w:ascii="Calibri" w:hAnsi="Calibri"/>
                <w:szCs w:val="22"/>
                <w:lang w:eastAsia="en-US"/>
              </w:rPr>
            </w:pPr>
            <w:r w:rsidRPr="007B2544">
              <w:rPr>
                <w:rFonts w:ascii="Calibri" w:hAnsi="Calibri"/>
                <w:szCs w:val="22"/>
                <w:lang w:eastAsia="en-US"/>
              </w:rPr>
              <w:t>Rural</w:t>
            </w:r>
          </w:p>
        </w:tc>
        <w:tc>
          <w:tcPr>
            <w:tcW w:w="828" w:type="pct"/>
          </w:tcPr>
          <w:p w14:paraId="2DB91954" w14:textId="77777777" w:rsidR="007B2544" w:rsidRPr="007B2544" w:rsidRDefault="007B2544" w:rsidP="007B254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1,024,000</w:t>
            </w:r>
          </w:p>
        </w:tc>
        <w:tc>
          <w:tcPr>
            <w:tcW w:w="1140" w:type="pct"/>
          </w:tcPr>
          <w:p w14:paraId="310D6510" w14:textId="77777777" w:rsidR="007B2544" w:rsidRPr="007B2544" w:rsidRDefault="007B2544" w:rsidP="007B254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838,000</w:t>
            </w:r>
          </w:p>
        </w:tc>
        <w:tc>
          <w:tcPr>
            <w:tcW w:w="1135" w:type="pct"/>
          </w:tcPr>
          <w:p w14:paraId="69EADD78" w14:textId="77777777" w:rsidR="007B2544" w:rsidRPr="007B2544" w:rsidRDefault="007B2544" w:rsidP="007B254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8,605,000</w:t>
            </w:r>
          </w:p>
        </w:tc>
        <w:tc>
          <w:tcPr>
            <w:tcW w:w="833" w:type="pct"/>
          </w:tcPr>
          <w:p w14:paraId="723F2972" w14:textId="77777777" w:rsidR="007B2544" w:rsidRPr="007B2544" w:rsidRDefault="007B2544" w:rsidP="007B254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2,103,000</w:t>
            </w:r>
          </w:p>
        </w:tc>
      </w:tr>
      <w:tr w:rsidR="007B2544" w:rsidRPr="007B2544" w14:paraId="1B0C335B" w14:textId="77777777" w:rsidTr="007B2544">
        <w:tc>
          <w:tcPr>
            <w:cnfStyle w:val="001000000000" w:firstRow="0" w:lastRow="0" w:firstColumn="1" w:lastColumn="0" w:oddVBand="0" w:evenVBand="0" w:oddHBand="0" w:evenHBand="0" w:firstRowFirstColumn="0" w:firstRowLastColumn="0" w:lastRowFirstColumn="0" w:lastRowLastColumn="0"/>
            <w:tcW w:w="1064" w:type="pct"/>
          </w:tcPr>
          <w:p w14:paraId="551B3307" w14:textId="77777777" w:rsidR="007B2544" w:rsidRPr="007B2544" w:rsidRDefault="007B2544" w:rsidP="007B2544">
            <w:pPr>
              <w:spacing w:before="0" w:after="0"/>
              <w:ind w:left="0"/>
              <w:jc w:val="left"/>
              <w:rPr>
                <w:rFonts w:ascii="Calibri" w:hAnsi="Calibri"/>
                <w:szCs w:val="22"/>
                <w:lang w:eastAsia="en-US"/>
              </w:rPr>
            </w:pPr>
            <w:r w:rsidRPr="007B2544">
              <w:rPr>
                <w:rFonts w:ascii="Calibri" w:hAnsi="Calibri"/>
                <w:szCs w:val="22"/>
                <w:lang w:eastAsia="en-US"/>
              </w:rPr>
              <w:t>Capital</w:t>
            </w:r>
          </w:p>
        </w:tc>
        <w:tc>
          <w:tcPr>
            <w:tcW w:w="828" w:type="pct"/>
          </w:tcPr>
          <w:p w14:paraId="0F817986" w14:textId="77777777" w:rsidR="007B2544" w:rsidRPr="007B2544" w:rsidRDefault="007B2544" w:rsidP="007B254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497,000</w:t>
            </w:r>
          </w:p>
        </w:tc>
        <w:tc>
          <w:tcPr>
            <w:tcW w:w="1140" w:type="pct"/>
          </w:tcPr>
          <w:p w14:paraId="751FC552" w14:textId="77777777" w:rsidR="007B2544" w:rsidRPr="007B2544" w:rsidRDefault="007B2544" w:rsidP="007B254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420,000 (Grand Banjul &gt; 1,000,000)</w:t>
            </w:r>
          </w:p>
        </w:tc>
        <w:tc>
          <w:tcPr>
            <w:tcW w:w="1135" w:type="pct"/>
          </w:tcPr>
          <w:p w14:paraId="5EE1CB1B" w14:textId="77777777" w:rsidR="007B2544" w:rsidRPr="007B2544" w:rsidRDefault="007B2544" w:rsidP="007B254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3,600,000 (Dakar metropolitan area)</w:t>
            </w:r>
          </w:p>
        </w:tc>
        <w:tc>
          <w:tcPr>
            <w:tcW w:w="833" w:type="pct"/>
          </w:tcPr>
          <w:p w14:paraId="1739AF71" w14:textId="77777777" w:rsidR="007B2544" w:rsidRPr="007B2544" w:rsidRDefault="007B2544" w:rsidP="007B254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1,100,000</w:t>
            </w:r>
          </w:p>
        </w:tc>
      </w:tr>
    </w:tbl>
    <w:p w14:paraId="7044581C" w14:textId="1DA8FA7F" w:rsidR="007B2544" w:rsidRDefault="007B2544" w:rsidP="007B2544">
      <w:pPr>
        <w:rPr>
          <w:lang w:val="en-GB"/>
        </w:rPr>
      </w:pPr>
    </w:p>
    <w:p w14:paraId="54B73763" w14:textId="77777777" w:rsidR="007B2544" w:rsidRPr="007B2544" w:rsidRDefault="007B2544" w:rsidP="007B2544">
      <w:pPr>
        <w:rPr>
          <w:lang w:val="en-GB"/>
        </w:rPr>
      </w:pPr>
      <w:r w:rsidRPr="007B2544">
        <w:rPr>
          <w:lang w:val="en-GB"/>
        </w:rPr>
        <w:t>Table 4: Dependence on groundwater (DGPRE, Euronet)</w:t>
      </w:r>
    </w:p>
    <w:tbl>
      <w:tblPr>
        <w:tblStyle w:val="GridTable5Dark-Accent13"/>
        <w:tblW w:w="5000" w:type="pct"/>
        <w:tblLook w:val="04A0" w:firstRow="1" w:lastRow="0" w:firstColumn="1" w:lastColumn="0" w:noHBand="0" w:noVBand="1"/>
      </w:tblPr>
      <w:tblGrid>
        <w:gridCol w:w="2050"/>
        <w:gridCol w:w="1895"/>
        <w:gridCol w:w="1895"/>
        <w:gridCol w:w="1895"/>
        <w:gridCol w:w="1895"/>
      </w:tblGrid>
      <w:tr w:rsidR="007B2544" w:rsidRPr="007B2544" w14:paraId="05731683" w14:textId="77777777" w:rsidTr="007B2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tcPr>
          <w:p w14:paraId="38CD9A88" w14:textId="77777777" w:rsidR="007B2544" w:rsidRPr="007B2544" w:rsidRDefault="007B2544" w:rsidP="007B2544">
            <w:pPr>
              <w:spacing w:before="0" w:after="0"/>
              <w:ind w:left="0"/>
              <w:jc w:val="left"/>
              <w:rPr>
                <w:rFonts w:ascii="Calibri" w:hAnsi="Calibri"/>
                <w:szCs w:val="22"/>
                <w:lang w:eastAsia="en-US"/>
              </w:rPr>
            </w:pPr>
            <w:r w:rsidRPr="007B2544">
              <w:rPr>
                <w:rFonts w:ascii="Calibri" w:hAnsi="Calibri"/>
                <w:szCs w:val="22"/>
                <w:lang w:eastAsia="en-US"/>
              </w:rPr>
              <w:t>Sector</w:t>
            </w:r>
          </w:p>
        </w:tc>
        <w:tc>
          <w:tcPr>
            <w:tcW w:w="984" w:type="pct"/>
          </w:tcPr>
          <w:p w14:paraId="42AE350A" w14:textId="77777777" w:rsidR="007B2544" w:rsidRPr="007B2544" w:rsidRDefault="007B2544" w:rsidP="007B2544">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7B2544">
              <w:rPr>
                <w:rFonts w:ascii="Calibri" w:hAnsi="Calibri"/>
                <w:szCs w:val="22"/>
                <w:lang w:eastAsia="en-US"/>
              </w:rPr>
              <w:t>Guinea-Bissau</w:t>
            </w:r>
          </w:p>
        </w:tc>
        <w:tc>
          <w:tcPr>
            <w:tcW w:w="984" w:type="pct"/>
          </w:tcPr>
          <w:p w14:paraId="30358E1C" w14:textId="77777777" w:rsidR="007B2544" w:rsidRPr="007B2544" w:rsidRDefault="007B2544" w:rsidP="007B2544">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7B2544">
              <w:rPr>
                <w:rFonts w:ascii="Calibri" w:hAnsi="Calibri"/>
                <w:szCs w:val="22"/>
                <w:lang w:eastAsia="en-US"/>
              </w:rPr>
              <w:t>Gambia</w:t>
            </w:r>
          </w:p>
        </w:tc>
        <w:tc>
          <w:tcPr>
            <w:tcW w:w="984" w:type="pct"/>
          </w:tcPr>
          <w:p w14:paraId="11999AF9" w14:textId="77777777" w:rsidR="007B2544" w:rsidRPr="007B2544" w:rsidRDefault="007B2544" w:rsidP="007B2544">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7B2544">
              <w:rPr>
                <w:rFonts w:ascii="Calibri" w:hAnsi="Calibri"/>
                <w:szCs w:val="22"/>
                <w:lang w:eastAsia="en-US"/>
              </w:rPr>
              <w:t>Senegal</w:t>
            </w:r>
          </w:p>
        </w:tc>
        <w:tc>
          <w:tcPr>
            <w:tcW w:w="984" w:type="pct"/>
          </w:tcPr>
          <w:p w14:paraId="4CDAEAEB" w14:textId="77777777" w:rsidR="007B2544" w:rsidRPr="007B2544" w:rsidRDefault="007B2544" w:rsidP="007B2544">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7B2544">
              <w:rPr>
                <w:rFonts w:ascii="Calibri" w:hAnsi="Calibri"/>
                <w:szCs w:val="22"/>
                <w:lang w:eastAsia="en-US"/>
              </w:rPr>
              <w:t>Mauritania</w:t>
            </w:r>
          </w:p>
        </w:tc>
      </w:tr>
      <w:tr w:rsidR="007B2544" w:rsidRPr="007B2544" w14:paraId="5E4ACF50" w14:textId="77777777" w:rsidTr="007B2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tcPr>
          <w:p w14:paraId="2B334A9A" w14:textId="074DA4F6" w:rsidR="007B2544" w:rsidRPr="007B2544" w:rsidRDefault="007A03F5" w:rsidP="007B2544">
            <w:pPr>
              <w:spacing w:before="0" w:after="0"/>
              <w:ind w:left="0"/>
              <w:jc w:val="left"/>
              <w:rPr>
                <w:rFonts w:ascii="Calibri" w:hAnsi="Calibri"/>
                <w:szCs w:val="22"/>
                <w:lang w:eastAsia="en-US"/>
              </w:rPr>
            </w:pPr>
            <w:r w:rsidRPr="007A03F5">
              <w:rPr>
                <w:rFonts w:ascii="Calibri" w:hAnsi="Calibri"/>
                <w:color w:val="FFFFFF" w:themeColor="background1"/>
                <w:szCs w:val="22"/>
                <w:lang w:eastAsia="en-US"/>
              </w:rPr>
              <w:t>Country</w:t>
            </w:r>
            <w:r w:rsidRPr="002A76BD">
              <w:rPr>
                <w:rFonts w:ascii="Calibri" w:hAnsi="Calibri"/>
                <w:color w:val="FFFFFF" w:themeColor="background1"/>
                <w:szCs w:val="22"/>
                <w:lang w:eastAsia="en-US"/>
              </w:rPr>
              <w:t xml:space="preserve"> </w:t>
            </w:r>
          </w:p>
        </w:tc>
        <w:tc>
          <w:tcPr>
            <w:tcW w:w="984" w:type="pct"/>
          </w:tcPr>
          <w:p w14:paraId="69C1B376" w14:textId="77777777" w:rsidR="007B2544" w:rsidRPr="007B2544" w:rsidRDefault="007B2544" w:rsidP="007B2544">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&gt; 80%</w:t>
            </w:r>
          </w:p>
        </w:tc>
        <w:tc>
          <w:tcPr>
            <w:tcW w:w="984" w:type="pct"/>
          </w:tcPr>
          <w:p w14:paraId="470E9494" w14:textId="77777777" w:rsidR="007B2544" w:rsidRPr="007B2544" w:rsidRDefault="007B2544" w:rsidP="007B2544">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100%</w:t>
            </w:r>
          </w:p>
        </w:tc>
        <w:tc>
          <w:tcPr>
            <w:tcW w:w="984" w:type="pct"/>
          </w:tcPr>
          <w:p w14:paraId="1566BC06" w14:textId="77777777" w:rsidR="007B2544" w:rsidRPr="007B2544" w:rsidRDefault="007B2544" w:rsidP="007B2544">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 xml:space="preserve">84% (including livestock) </w:t>
            </w:r>
          </w:p>
        </w:tc>
        <w:tc>
          <w:tcPr>
            <w:tcW w:w="984" w:type="pct"/>
          </w:tcPr>
          <w:p w14:paraId="2147E5E2" w14:textId="77777777" w:rsidR="007B2544" w:rsidRPr="007B2544" w:rsidRDefault="007B2544" w:rsidP="007B2544">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&gt; 80%</w:t>
            </w:r>
          </w:p>
        </w:tc>
      </w:tr>
      <w:tr w:rsidR="007B2544" w:rsidRPr="00EF7B10" w14:paraId="268DBFEB" w14:textId="77777777" w:rsidTr="007B2544">
        <w:tc>
          <w:tcPr>
            <w:cnfStyle w:val="001000000000" w:firstRow="0" w:lastRow="0" w:firstColumn="1" w:lastColumn="0" w:oddVBand="0" w:evenVBand="0" w:oddHBand="0" w:evenHBand="0" w:firstRowFirstColumn="0" w:firstRowLastColumn="0" w:lastRowFirstColumn="0" w:lastRowLastColumn="0"/>
            <w:tcW w:w="1064" w:type="pct"/>
          </w:tcPr>
          <w:p w14:paraId="77002373" w14:textId="77777777" w:rsidR="007B2544" w:rsidRPr="007B2544" w:rsidRDefault="007B2544" w:rsidP="007B2544">
            <w:pPr>
              <w:spacing w:before="0" w:after="0"/>
              <w:ind w:left="0"/>
              <w:jc w:val="left"/>
              <w:rPr>
                <w:rFonts w:ascii="Calibri" w:hAnsi="Calibri"/>
                <w:szCs w:val="22"/>
                <w:lang w:eastAsia="en-US"/>
              </w:rPr>
            </w:pPr>
            <w:r w:rsidRPr="007B2544">
              <w:rPr>
                <w:rFonts w:ascii="Calibri" w:hAnsi="Calibri"/>
                <w:szCs w:val="22"/>
                <w:lang w:eastAsia="en-US"/>
              </w:rPr>
              <w:t>Urban (%)</w:t>
            </w:r>
          </w:p>
        </w:tc>
        <w:tc>
          <w:tcPr>
            <w:tcW w:w="984" w:type="pct"/>
          </w:tcPr>
          <w:p w14:paraId="5B5CE87D" w14:textId="77777777" w:rsidR="007B2544" w:rsidRPr="007B2544" w:rsidRDefault="007B2544" w:rsidP="007B2544">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Mainly groundwater, though deep boreholes are limited to large cities</w:t>
            </w:r>
          </w:p>
          <w:p w14:paraId="164FEB0A" w14:textId="77777777" w:rsidR="007B2544" w:rsidRPr="007B2544" w:rsidRDefault="007B2544" w:rsidP="007B2544">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p>
        </w:tc>
        <w:tc>
          <w:tcPr>
            <w:tcW w:w="984" w:type="pct"/>
          </w:tcPr>
          <w:p w14:paraId="12F89A21" w14:textId="77777777" w:rsidR="007B2544" w:rsidRPr="007B2544" w:rsidRDefault="007B2544" w:rsidP="007B2544">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100%</w:t>
            </w:r>
          </w:p>
        </w:tc>
        <w:tc>
          <w:tcPr>
            <w:tcW w:w="984" w:type="pct"/>
          </w:tcPr>
          <w:p w14:paraId="663DA001" w14:textId="77777777" w:rsidR="007B2544" w:rsidRPr="007B2544" w:rsidRDefault="007B2544" w:rsidP="007B2544">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50 of the 66 urban centres managed by SONES are supplied from groundwater</w:t>
            </w:r>
          </w:p>
          <w:p w14:paraId="65303328" w14:textId="77777777" w:rsidR="007B2544" w:rsidRPr="007B2544" w:rsidRDefault="007B2544" w:rsidP="007B2544">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 xml:space="preserve"> </w:t>
            </w:r>
          </w:p>
        </w:tc>
        <w:tc>
          <w:tcPr>
            <w:tcW w:w="984" w:type="pct"/>
          </w:tcPr>
          <w:p w14:paraId="05277BD9" w14:textId="77777777" w:rsidR="007B2544" w:rsidRPr="007B2544" w:rsidRDefault="007B2544" w:rsidP="007B2544">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Mainly groundwater (except Nouakchott and Rosso, which are situated on the Senegal River)</w:t>
            </w:r>
          </w:p>
          <w:p w14:paraId="56C6E00A" w14:textId="77777777" w:rsidR="007B2544" w:rsidRPr="007B2544" w:rsidRDefault="007B2544" w:rsidP="007B2544">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p>
        </w:tc>
      </w:tr>
      <w:tr w:rsidR="007B2544" w:rsidRPr="007B2544" w14:paraId="3734E238" w14:textId="77777777" w:rsidTr="007B2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tcPr>
          <w:p w14:paraId="27085D82" w14:textId="77777777" w:rsidR="007B2544" w:rsidRPr="007B2544" w:rsidRDefault="007B2544" w:rsidP="007B2544">
            <w:pPr>
              <w:spacing w:before="0" w:after="0"/>
              <w:ind w:left="0"/>
              <w:jc w:val="left"/>
              <w:rPr>
                <w:rFonts w:ascii="Calibri" w:hAnsi="Calibri"/>
                <w:szCs w:val="22"/>
                <w:lang w:eastAsia="en-US"/>
              </w:rPr>
            </w:pPr>
            <w:r w:rsidRPr="007B2544">
              <w:rPr>
                <w:rFonts w:ascii="Calibri" w:hAnsi="Calibri"/>
                <w:szCs w:val="22"/>
                <w:lang w:eastAsia="en-US"/>
              </w:rPr>
              <w:t>Rural</w:t>
            </w:r>
          </w:p>
        </w:tc>
        <w:tc>
          <w:tcPr>
            <w:tcW w:w="984" w:type="pct"/>
          </w:tcPr>
          <w:p w14:paraId="06F8147B" w14:textId="77777777" w:rsidR="007B2544" w:rsidRPr="007B2544" w:rsidRDefault="007B2544" w:rsidP="007B2544">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cs="Calibri"/>
                <w:sz w:val="18"/>
                <w:szCs w:val="18"/>
                <w:lang w:eastAsia="en-US"/>
              </w:rPr>
              <w:t>~ 100%</w:t>
            </w:r>
          </w:p>
        </w:tc>
        <w:tc>
          <w:tcPr>
            <w:tcW w:w="984" w:type="pct"/>
          </w:tcPr>
          <w:p w14:paraId="76365466" w14:textId="77777777" w:rsidR="007B2544" w:rsidRPr="007B2544" w:rsidRDefault="007B2544" w:rsidP="007B2544">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100%</w:t>
            </w:r>
          </w:p>
        </w:tc>
        <w:tc>
          <w:tcPr>
            <w:tcW w:w="984" w:type="pct"/>
          </w:tcPr>
          <w:p w14:paraId="1D50C338" w14:textId="77777777" w:rsidR="007B2544" w:rsidRPr="007B2544" w:rsidRDefault="007B2544" w:rsidP="007B2544">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cs="Calibri"/>
                <w:sz w:val="18"/>
                <w:szCs w:val="18"/>
                <w:lang w:eastAsia="en-US"/>
              </w:rPr>
              <w:t>~ 100%</w:t>
            </w:r>
          </w:p>
        </w:tc>
        <w:tc>
          <w:tcPr>
            <w:tcW w:w="984" w:type="pct"/>
          </w:tcPr>
          <w:p w14:paraId="3E5E000E" w14:textId="77777777" w:rsidR="007B2544" w:rsidRPr="007B2544" w:rsidRDefault="007B2544" w:rsidP="007B2544">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B2544">
              <w:rPr>
                <w:rFonts w:ascii="Calibri" w:hAnsi="Calibri" w:cs="Calibri"/>
                <w:sz w:val="18"/>
                <w:szCs w:val="18"/>
                <w:lang w:eastAsia="en-US"/>
              </w:rPr>
              <w:t>~ 100%</w:t>
            </w:r>
          </w:p>
        </w:tc>
      </w:tr>
      <w:tr w:rsidR="007B2544" w:rsidRPr="007B2544" w14:paraId="2DDDEB62" w14:textId="77777777" w:rsidTr="007B2544">
        <w:tc>
          <w:tcPr>
            <w:cnfStyle w:val="001000000000" w:firstRow="0" w:lastRow="0" w:firstColumn="1" w:lastColumn="0" w:oddVBand="0" w:evenVBand="0" w:oddHBand="0" w:evenHBand="0" w:firstRowFirstColumn="0" w:firstRowLastColumn="0" w:lastRowFirstColumn="0" w:lastRowLastColumn="0"/>
            <w:tcW w:w="1064" w:type="pct"/>
          </w:tcPr>
          <w:p w14:paraId="02D73C9D" w14:textId="77777777" w:rsidR="007B2544" w:rsidRPr="007B2544" w:rsidRDefault="007B2544" w:rsidP="007B2544">
            <w:pPr>
              <w:spacing w:before="0" w:after="0"/>
              <w:ind w:left="0"/>
              <w:jc w:val="left"/>
              <w:rPr>
                <w:rFonts w:ascii="Calibri" w:hAnsi="Calibri"/>
                <w:szCs w:val="22"/>
                <w:lang w:eastAsia="en-US"/>
              </w:rPr>
            </w:pPr>
            <w:r w:rsidRPr="007B2544">
              <w:rPr>
                <w:rFonts w:ascii="Calibri" w:hAnsi="Calibri"/>
                <w:szCs w:val="22"/>
                <w:lang w:eastAsia="en-US"/>
              </w:rPr>
              <w:t xml:space="preserve">Capital City  </w:t>
            </w:r>
          </w:p>
        </w:tc>
        <w:tc>
          <w:tcPr>
            <w:tcW w:w="984" w:type="pct"/>
          </w:tcPr>
          <w:p w14:paraId="163D0457" w14:textId="77777777" w:rsidR="007B2544" w:rsidRPr="007B2544" w:rsidRDefault="007B2544" w:rsidP="007B2544">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100%</w:t>
            </w:r>
          </w:p>
        </w:tc>
        <w:tc>
          <w:tcPr>
            <w:tcW w:w="984" w:type="pct"/>
          </w:tcPr>
          <w:p w14:paraId="3DDC4504" w14:textId="77777777" w:rsidR="007B2544" w:rsidRPr="007B2544" w:rsidRDefault="007B2544" w:rsidP="007B2544">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sz w:val="18"/>
                <w:szCs w:val="18"/>
                <w:lang w:eastAsia="en-US"/>
              </w:rPr>
              <w:t>100%</w:t>
            </w:r>
          </w:p>
        </w:tc>
        <w:tc>
          <w:tcPr>
            <w:tcW w:w="984" w:type="pct"/>
          </w:tcPr>
          <w:p w14:paraId="465078E7" w14:textId="77777777" w:rsidR="007B2544" w:rsidRPr="007B2544" w:rsidRDefault="007B2544" w:rsidP="007B2544">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en-US"/>
              </w:rPr>
            </w:pPr>
            <w:r w:rsidRPr="007B2544">
              <w:rPr>
                <w:rFonts w:ascii="Calibri" w:hAnsi="Calibri" w:cs="Calibri"/>
                <w:sz w:val="18"/>
                <w:szCs w:val="18"/>
                <w:lang w:eastAsia="en-US"/>
              </w:rPr>
              <w:t>~ 50%</w:t>
            </w:r>
          </w:p>
        </w:tc>
        <w:tc>
          <w:tcPr>
            <w:tcW w:w="984" w:type="pct"/>
          </w:tcPr>
          <w:p w14:paraId="183B1694" w14:textId="77777777" w:rsidR="007B2544" w:rsidRPr="007B2544" w:rsidRDefault="007B2544" w:rsidP="007B2544">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B2544">
              <w:rPr>
                <w:rFonts w:ascii="Calibri" w:hAnsi="Calibri" w:cs="Calibri"/>
                <w:sz w:val="18"/>
                <w:szCs w:val="18"/>
                <w:lang w:eastAsia="en-US"/>
              </w:rPr>
              <w:t>~ 33%</w:t>
            </w:r>
          </w:p>
        </w:tc>
      </w:tr>
    </w:tbl>
    <w:p w14:paraId="769E9DCB" w14:textId="2F6ED0B7" w:rsidR="007B2544" w:rsidRDefault="007B2544" w:rsidP="007B2544">
      <w:pPr>
        <w:rPr>
          <w:lang w:val="en-GB"/>
        </w:rPr>
      </w:pPr>
    </w:p>
    <w:p w14:paraId="1AF7456A" w14:textId="1076C9E5" w:rsidR="007066A1" w:rsidRPr="007066A1" w:rsidRDefault="007066A1" w:rsidP="00BB319B">
      <w:pPr>
        <w:pStyle w:val="Heading4"/>
        <w:rPr>
          <w:lang w:val="en-GB"/>
        </w:rPr>
      </w:pPr>
      <w:bookmarkStart w:id="27" w:name="_Toc53651774"/>
      <w:r w:rsidRPr="007066A1">
        <w:rPr>
          <w:lang w:val="en-GB"/>
        </w:rPr>
        <w:t>Extraction for agriculture and grazing</w:t>
      </w:r>
      <w:bookmarkEnd w:id="27"/>
      <w:r w:rsidRPr="007066A1">
        <w:rPr>
          <w:lang w:val="en-GB"/>
        </w:rPr>
        <w:t xml:space="preserve"> </w:t>
      </w:r>
    </w:p>
    <w:p w14:paraId="1B2EB466" w14:textId="77777777" w:rsidR="007066A1" w:rsidRPr="007066A1" w:rsidRDefault="007066A1" w:rsidP="007066A1">
      <w:pPr>
        <w:rPr>
          <w:lang w:val="en-GB"/>
        </w:rPr>
      </w:pPr>
      <w:r w:rsidRPr="007066A1">
        <w:rPr>
          <w:lang w:val="en-GB"/>
        </w:rPr>
        <w:t>Agriculture is a major activity in the SMAB countries, contributing to 15-53 per cent of the national GDP in neighbouring countries, and serving as a source of employment for between 27 and 68 per cent of the populations. It is also the sector with the greatest water needs. However, agriculture appears to depend mainly on surface water and rainfall. Groundwater is rarely used for irrigation, and this is limited to horticulture during the dry season.</w:t>
      </w:r>
    </w:p>
    <w:p w14:paraId="20E7531D" w14:textId="77777777" w:rsidR="001E364E" w:rsidRDefault="007066A1" w:rsidP="00E916B3">
      <w:pPr>
        <w:rPr>
          <w:lang w:val="en-GB"/>
        </w:rPr>
      </w:pPr>
      <w:r w:rsidRPr="007066A1">
        <w:rPr>
          <w:lang w:val="en-GB"/>
        </w:rPr>
        <w:t xml:space="preserve">Groundwater is used for cattle and grazing, but no figures have been found with regard to these activities. </w:t>
      </w:r>
    </w:p>
    <w:p w14:paraId="7F245FB5" w14:textId="77777777" w:rsidR="001E364E" w:rsidRDefault="001E364E" w:rsidP="00E916B3">
      <w:pPr>
        <w:rPr>
          <w:lang w:val="en-GB"/>
        </w:rPr>
      </w:pPr>
    </w:p>
    <w:p w14:paraId="078A94BB" w14:textId="7C8B17FE" w:rsidR="007B2544" w:rsidRDefault="007066A1" w:rsidP="00E916B3">
      <w:pPr>
        <w:rPr>
          <w:lang w:val="en-GB"/>
        </w:rPr>
      </w:pPr>
      <w:r w:rsidRPr="007066A1">
        <w:rPr>
          <w:lang w:val="en-GB"/>
        </w:rPr>
        <w:t>Table 5: The contribution of groundwater to agriculture in SMAB countries (World Bank)</w:t>
      </w:r>
    </w:p>
    <w:tbl>
      <w:tblPr>
        <w:tblStyle w:val="GridTable5Dark-Accent15"/>
        <w:tblW w:w="5000" w:type="pct"/>
        <w:tblLook w:val="04A0" w:firstRow="1" w:lastRow="0" w:firstColumn="1" w:lastColumn="0" w:noHBand="0" w:noVBand="1"/>
      </w:tblPr>
      <w:tblGrid>
        <w:gridCol w:w="2048"/>
        <w:gridCol w:w="1896"/>
        <w:gridCol w:w="1896"/>
        <w:gridCol w:w="1895"/>
        <w:gridCol w:w="1895"/>
      </w:tblGrid>
      <w:tr w:rsidR="007066A1" w:rsidRPr="007066A1" w14:paraId="7689EF53" w14:textId="77777777" w:rsidTr="00706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tcPr>
          <w:p w14:paraId="4EB441C9" w14:textId="77777777" w:rsidR="007066A1" w:rsidRPr="007066A1" w:rsidRDefault="007066A1" w:rsidP="007066A1">
            <w:pPr>
              <w:spacing w:before="0" w:after="0"/>
              <w:ind w:left="0"/>
              <w:jc w:val="left"/>
              <w:rPr>
                <w:rFonts w:ascii="Calibri" w:hAnsi="Calibri"/>
                <w:szCs w:val="22"/>
                <w:lang w:eastAsia="en-US"/>
              </w:rPr>
            </w:pPr>
            <w:r w:rsidRPr="007066A1">
              <w:rPr>
                <w:rFonts w:ascii="Calibri" w:hAnsi="Calibri"/>
                <w:szCs w:val="22"/>
                <w:lang w:eastAsia="en-US"/>
              </w:rPr>
              <w:t>Indicator</w:t>
            </w:r>
          </w:p>
        </w:tc>
        <w:tc>
          <w:tcPr>
            <w:tcW w:w="984" w:type="pct"/>
          </w:tcPr>
          <w:p w14:paraId="744CA105" w14:textId="77777777" w:rsidR="007066A1" w:rsidRPr="007066A1" w:rsidRDefault="007066A1" w:rsidP="007066A1">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7066A1">
              <w:rPr>
                <w:rFonts w:ascii="Calibri" w:hAnsi="Calibri"/>
                <w:szCs w:val="22"/>
                <w:lang w:eastAsia="en-US"/>
              </w:rPr>
              <w:t>Guinea-Bissau</w:t>
            </w:r>
          </w:p>
        </w:tc>
        <w:tc>
          <w:tcPr>
            <w:tcW w:w="984" w:type="pct"/>
          </w:tcPr>
          <w:p w14:paraId="3ACA3753" w14:textId="77777777" w:rsidR="007066A1" w:rsidRPr="007066A1" w:rsidRDefault="007066A1" w:rsidP="007066A1">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7066A1">
              <w:rPr>
                <w:rFonts w:ascii="Calibri" w:hAnsi="Calibri"/>
                <w:szCs w:val="22"/>
                <w:lang w:eastAsia="en-US"/>
              </w:rPr>
              <w:t>Gambia</w:t>
            </w:r>
          </w:p>
        </w:tc>
        <w:tc>
          <w:tcPr>
            <w:tcW w:w="984" w:type="pct"/>
          </w:tcPr>
          <w:p w14:paraId="7AB94464" w14:textId="77777777" w:rsidR="007066A1" w:rsidRPr="007066A1" w:rsidRDefault="007066A1" w:rsidP="007066A1">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7066A1">
              <w:rPr>
                <w:rFonts w:ascii="Calibri" w:hAnsi="Calibri"/>
                <w:szCs w:val="22"/>
                <w:lang w:eastAsia="en-US"/>
              </w:rPr>
              <w:t>Senegal</w:t>
            </w:r>
          </w:p>
        </w:tc>
        <w:tc>
          <w:tcPr>
            <w:tcW w:w="984" w:type="pct"/>
          </w:tcPr>
          <w:p w14:paraId="308196FB" w14:textId="77777777" w:rsidR="007066A1" w:rsidRPr="007066A1" w:rsidRDefault="007066A1" w:rsidP="007066A1">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7066A1">
              <w:rPr>
                <w:rFonts w:ascii="Calibri" w:hAnsi="Calibri"/>
                <w:szCs w:val="22"/>
                <w:lang w:eastAsia="en-US"/>
              </w:rPr>
              <w:t>Mauritania</w:t>
            </w:r>
          </w:p>
        </w:tc>
      </w:tr>
      <w:tr w:rsidR="007066A1" w:rsidRPr="007066A1" w14:paraId="4A244C9D" w14:textId="77777777" w:rsidTr="00706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tcPr>
          <w:p w14:paraId="24AF42AF" w14:textId="77777777" w:rsidR="007066A1" w:rsidRPr="007066A1" w:rsidRDefault="007066A1" w:rsidP="007066A1">
            <w:pPr>
              <w:spacing w:before="0" w:after="0"/>
              <w:ind w:left="0"/>
              <w:jc w:val="left"/>
              <w:rPr>
                <w:rFonts w:ascii="Calibri" w:hAnsi="Calibri"/>
                <w:szCs w:val="22"/>
                <w:lang w:eastAsia="en-US"/>
              </w:rPr>
            </w:pPr>
            <w:r w:rsidRPr="007066A1">
              <w:rPr>
                <w:rFonts w:ascii="Calibri" w:hAnsi="Calibri"/>
                <w:szCs w:val="22"/>
                <w:lang w:eastAsia="en-US"/>
              </w:rPr>
              <w:t>Share of agriculture in the GDP</w:t>
            </w:r>
          </w:p>
        </w:tc>
        <w:tc>
          <w:tcPr>
            <w:tcW w:w="984" w:type="pct"/>
          </w:tcPr>
          <w:p w14:paraId="729DED0B" w14:textId="77777777" w:rsidR="007066A1" w:rsidRPr="007066A1" w:rsidRDefault="007066A1" w:rsidP="007066A1">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066A1">
              <w:rPr>
                <w:rFonts w:ascii="Calibri" w:hAnsi="Calibri"/>
                <w:sz w:val="18"/>
                <w:szCs w:val="18"/>
                <w:lang w:eastAsia="en-US"/>
              </w:rPr>
              <w:t>53%</w:t>
            </w:r>
          </w:p>
        </w:tc>
        <w:tc>
          <w:tcPr>
            <w:tcW w:w="984" w:type="pct"/>
          </w:tcPr>
          <w:p w14:paraId="2F9BA50D" w14:textId="77777777" w:rsidR="007066A1" w:rsidRPr="007066A1" w:rsidRDefault="007066A1" w:rsidP="007066A1">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066A1">
              <w:rPr>
                <w:rFonts w:ascii="Calibri" w:hAnsi="Calibri"/>
                <w:sz w:val="18"/>
                <w:szCs w:val="18"/>
                <w:lang w:eastAsia="en-US"/>
              </w:rPr>
              <w:t>17%</w:t>
            </w:r>
          </w:p>
        </w:tc>
        <w:tc>
          <w:tcPr>
            <w:tcW w:w="984" w:type="pct"/>
          </w:tcPr>
          <w:p w14:paraId="0117A67D" w14:textId="77777777" w:rsidR="007066A1" w:rsidRPr="007066A1" w:rsidRDefault="007066A1" w:rsidP="007066A1">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066A1">
              <w:rPr>
                <w:rFonts w:ascii="Calibri" w:hAnsi="Calibri"/>
                <w:sz w:val="18"/>
                <w:szCs w:val="18"/>
                <w:lang w:eastAsia="en-US"/>
              </w:rPr>
              <w:t>15%</w:t>
            </w:r>
          </w:p>
        </w:tc>
        <w:tc>
          <w:tcPr>
            <w:tcW w:w="984" w:type="pct"/>
          </w:tcPr>
          <w:p w14:paraId="035AB6D2" w14:textId="77777777" w:rsidR="007066A1" w:rsidRPr="007066A1" w:rsidRDefault="007066A1" w:rsidP="007066A1">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066A1">
              <w:rPr>
                <w:rFonts w:ascii="Calibri" w:hAnsi="Calibri"/>
                <w:sz w:val="18"/>
                <w:szCs w:val="18"/>
                <w:lang w:eastAsia="en-US"/>
              </w:rPr>
              <w:t>19%</w:t>
            </w:r>
          </w:p>
        </w:tc>
      </w:tr>
      <w:tr w:rsidR="007066A1" w:rsidRPr="007066A1" w14:paraId="375F4FB8" w14:textId="77777777" w:rsidTr="007066A1">
        <w:tc>
          <w:tcPr>
            <w:cnfStyle w:val="001000000000" w:firstRow="0" w:lastRow="0" w:firstColumn="1" w:lastColumn="0" w:oddVBand="0" w:evenVBand="0" w:oddHBand="0" w:evenHBand="0" w:firstRowFirstColumn="0" w:firstRowLastColumn="0" w:lastRowFirstColumn="0" w:lastRowLastColumn="0"/>
            <w:tcW w:w="1063" w:type="pct"/>
          </w:tcPr>
          <w:p w14:paraId="6D9BFC74" w14:textId="77777777" w:rsidR="007066A1" w:rsidRPr="007066A1" w:rsidRDefault="007066A1" w:rsidP="007066A1">
            <w:pPr>
              <w:spacing w:before="0" w:after="0"/>
              <w:ind w:left="0"/>
              <w:jc w:val="left"/>
              <w:rPr>
                <w:rFonts w:ascii="Calibri" w:hAnsi="Calibri"/>
                <w:szCs w:val="22"/>
                <w:lang w:eastAsia="en-US"/>
              </w:rPr>
            </w:pPr>
            <w:r w:rsidRPr="007066A1">
              <w:rPr>
                <w:rFonts w:ascii="Calibri" w:hAnsi="Calibri"/>
                <w:szCs w:val="22"/>
                <w:lang w:eastAsia="en-US"/>
              </w:rPr>
              <w:t xml:space="preserve">Share of agriculture in employment </w:t>
            </w:r>
          </w:p>
        </w:tc>
        <w:tc>
          <w:tcPr>
            <w:tcW w:w="984" w:type="pct"/>
          </w:tcPr>
          <w:p w14:paraId="1430F1CB" w14:textId="77777777" w:rsidR="007066A1" w:rsidRPr="007066A1" w:rsidRDefault="007066A1" w:rsidP="007066A1">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066A1">
              <w:rPr>
                <w:rFonts w:ascii="Calibri" w:hAnsi="Calibri"/>
                <w:sz w:val="18"/>
                <w:szCs w:val="18"/>
                <w:lang w:eastAsia="en-US"/>
              </w:rPr>
              <w:t>68%</w:t>
            </w:r>
          </w:p>
        </w:tc>
        <w:tc>
          <w:tcPr>
            <w:tcW w:w="984" w:type="pct"/>
          </w:tcPr>
          <w:p w14:paraId="34B8B1C4" w14:textId="77777777" w:rsidR="007066A1" w:rsidRPr="007066A1" w:rsidRDefault="007066A1" w:rsidP="007066A1">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066A1">
              <w:rPr>
                <w:rFonts w:ascii="Calibri" w:hAnsi="Calibri"/>
                <w:sz w:val="18"/>
                <w:szCs w:val="18"/>
                <w:lang w:eastAsia="en-US"/>
              </w:rPr>
              <w:t>27%</w:t>
            </w:r>
          </w:p>
        </w:tc>
        <w:tc>
          <w:tcPr>
            <w:tcW w:w="984" w:type="pct"/>
          </w:tcPr>
          <w:p w14:paraId="2C888ECF" w14:textId="77777777" w:rsidR="007066A1" w:rsidRPr="007066A1" w:rsidRDefault="007066A1" w:rsidP="007066A1">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066A1">
              <w:rPr>
                <w:rFonts w:ascii="Calibri" w:hAnsi="Calibri"/>
                <w:sz w:val="18"/>
                <w:szCs w:val="18"/>
                <w:lang w:eastAsia="en-US"/>
              </w:rPr>
              <w:t>30%</w:t>
            </w:r>
          </w:p>
        </w:tc>
        <w:tc>
          <w:tcPr>
            <w:tcW w:w="984" w:type="pct"/>
          </w:tcPr>
          <w:p w14:paraId="0DDB768A" w14:textId="77777777" w:rsidR="007066A1" w:rsidRPr="007066A1" w:rsidRDefault="007066A1" w:rsidP="007066A1">
            <w:pPr>
              <w:spacing w:before="0"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7066A1">
              <w:rPr>
                <w:rFonts w:ascii="Calibri" w:hAnsi="Calibri"/>
                <w:sz w:val="18"/>
                <w:szCs w:val="18"/>
                <w:lang w:eastAsia="en-US"/>
              </w:rPr>
              <w:t>51%</w:t>
            </w:r>
          </w:p>
        </w:tc>
      </w:tr>
      <w:tr w:rsidR="007066A1" w:rsidRPr="002A76BD" w14:paraId="0FB1BE10" w14:textId="77777777" w:rsidTr="00706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tcPr>
          <w:p w14:paraId="5E82198A" w14:textId="77777777" w:rsidR="007066A1" w:rsidRPr="007066A1" w:rsidRDefault="007066A1" w:rsidP="007066A1">
            <w:pPr>
              <w:spacing w:before="0" w:after="0"/>
              <w:ind w:left="0"/>
              <w:jc w:val="left"/>
              <w:rPr>
                <w:rFonts w:ascii="Calibri" w:hAnsi="Calibri"/>
                <w:szCs w:val="22"/>
                <w:lang w:eastAsia="en-US"/>
              </w:rPr>
            </w:pPr>
            <w:r w:rsidRPr="007066A1">
              <w:rPr>
                <w:rFonts w:ascii="Calibri" w:hAnsi="Calibri"/>
                <w:szCs w:val="22"/>
                <w:lang w:eastAsia="en-US"/>
              </w:rPr>
              <w:t xml:space="preserve">Dependence on groundwater for irrigation </w:t>
            </w:r>
          </w:p>
        </w:tc>
        <w:tc>
          <w:tcPr>
            <w:tcW w:w="984" w:type="pct"/>
          </w:tcPr>
          <w:p w14:paraId="401A98DA" w14:textId="77777777" w:rsidR="007066A1" w:rsidRPr="007066A1" w:rsidRDefault="007066A1" w:rsidP="007066A1">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066A1">
              <w:rPr>
                <w:rFonts w:ascii="Calibri" w:hAnsi="Calibri"/>
                <w:sz w:val="18"/>
                <w:szCs w:val="18"/>
                <w:lang w:eastAsia="en-US"/>
              </w:rPr>
              <w:t xml:space="preserve">Solely for horticulture during the dry season </w:t>
            </w:r>
          </w:p>
          <w:p w14:paraId="5766B53E" w14:textId="77777777" w:rsidR="007066A1" w:rsidRPr="007066A1" w:rsidRDefault="007066A1" w:rsidP="007066A1">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p>
        </w:tc>
        <w:tc>
          <w:tcPr>
            <w:tcW w:w="984" w:type="pct"/>
          </w:tcPr>
          <w:p w14:paraId="1A43E165" w14:textId="77777777" w:rsidR="007066A1" w:rsidRPr="007066A1" w:rsidRDefault="007066A1" w:rsidP="007066A1">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066A1">
              <w:rPr>
                <w:rFonts w:ascii="Calibri" w:hAnsi="Calibri"/>
                <w:sz w:val="18"/>
                <w:szCs w:val="18"/>
                <w:lang w:eastAsia="en-US"/>
              </w:rPr>
              <w:t xml:space="preserve">Boreholes on commercial farms in the west coast region account for 11% of daily consumption </w:t>
            </w:r>
          </w:p>
          <w:p w14:paraId="392A9950" w14:textId="77777777" w:rsidR="007066A1" w:rsidRPr="007066A1" w:rsidRDefault="007066A1" w:rsidP="007066A1">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p>
        </w:tc>
        <w:tc>
          <w:tcPr>
            <w:tcW w:w="984" w:type="pct"/>
          </w:tcPr>
          <w:p w14:paraId="32485FB0" w14:textId="77777777" w:rsidR="007066A1" w:rsidRPr="007066A1" w:rsidRDefault="007066A1" w:rsidP="007066A1">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7066A1">
              <w:rPr>
                <w:rFonts w:ascii="Calibri" w:hAnsi="Calibri"/>
                <w:sz w:val="18"/>
                <w:szCs w:val="18"/>
                <w:lang w:eastAsia="en-US"/>
              </w:rPr>
              <w:t>2000 ha out of 63000 (~ 3%). Mainly family horticulture, with the exception of Niayes, where groundwater is used for large-scale farming</w:t>
            </w:r>
          </w:p>
          <w:p w14:paraId="1D8BC3AC" w14:textId="77777777" w:rsidR="007066A1" w:rsidRPr="007066A1" w:rsidRDefault="007066A1" w:rsidP="007066A1">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p>
        </w:tc>
        <w:tc>
          <w:tcPr>
            <w:tcW w:w="984" w:type="pct"/>
          </w:tcPr>
          <w:p w14:paraId="15DE6412" w14:textId="77777777" w:rsidR="007066A1" w:rsidRPr="007066A1" w:rsidRDefault="007066A1" w:rsidP="007066A1">
            <w:pPr>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p>
        </w:tc>
      </w:tr>
    </w:tbl>
    <w:p w14:paraId="7AD9CC3E" w14:textId="77777777" w:rsidR="00E916B3" w:rsidRDefault="00E916B3" w:rsidP="007066A1">
      <w:pPr>
        <w:rPr>
          <w:lang w:val="en-GB"/>
        </w:rPr>
      </w:pPr>
    </w:p>
    <w:p w14:paraId="4F3CE761" w14:textId="4B64F362" w:rsidR="007066A1" w:rsidRPr="007066A1" w:rsidRDefault="007066A1" w:rsidP="007066A1">
      <w:pPr>
        <w:rPr>
          <w:lang w:val="en-GB"/>
        </w:rPr>
      </w:pPr>
      <w:r w:rsidRPr="007066A1">
        <w:rPr>
          <w:lang w:val="en-GB"/>
        </w:rPr>
        <w:t xml:space="preserve">As part of the food self-sufficiency policy and poverty reduction, governments are implementing increasing numbers of agricultural programmes. Aquifers make up their main source of water, though extraction and demand are not documented. </w:t>
      </w:r>
    </w:p>
    <w:p w14:paraId="6E854888" w14:textId="73F31E76" w:rsidR="007066A1" w:rsidRPr="007066A1" w:rsidRDefault="007066A1" w:rsidP="00BB319B">
      <w:pPr>
        <w:pStyle w:val="Heading4"/>
        <w:rPr>
          <w:lang w:val="en-GB"/>
        </w:rPr>
      </w:pPr>
      <w:bookmarkStart w:id="28" w:name="_Toc53651775"/>
      <w:r w:rsidRPr="007066A1">
        <w:rPr>
          <w:lang w:val="en-GB"/>
        </w:rPr>
        <w:t>Industry and service</w:t>
      </w:r>
      <w:bookmarkEnd w:id="28"/>
      <w:r w:rsidRPr="007066A1">
        <w:rPr>
          <w:lang w:val="en-GB"/>
        </w:rPr>
        <w:t xml:space="preserve"> </w:t>
      </w:r>
    </w:p>
    <w:p w14:paraId="0A3C7083" w14:textId="77777777" w:rsidR="007066A1" w:rsidRPr="007066A1" w:rsidRDefault="007066A1" w:rsidP="007066A1">
      <w:pPr>
        <w:rPr>
          <w:lang w:val="en-GB"/>
        </w:rPr>
      </w:pPr>
      <w:r w:rsidRPr="007066A1">
        <w:rPr>
          <w:lang w:val="en-GB"/>
        </w:rPr>
        <w:t xml:space="preserve">Industry, mining and tourism usually depend on groundwater, which they extract using their own boreholes. Major zircon and phosphate mines, as well as cement factories also use aquifers in Senegal in the Niayes region and around Dakar; extractions are estimated at 8.5 per cent of consumption (DGPRE).   </w:t>
      </w:r>
    </w:p>
    <w:p w14:paraId="4BB502AB" w14:textId="77777777" w:rsidR="007066A1" w:rsidRPr="007066A1" w:rsidRDefault="007066A1" w:rsidP="007066A1">
      <w:pPr>
        <w:rPr>
          <w:lang w:val="en-GB"/>
        </w:rPr>
      </w:pPr>
      <w:r w:rsidRPr="007066A1">
        <w:rPr>
          <w:lang w:val="en-GB"/>
        </w:rPr>
        <w:t xml:space="preserve">Tourism is an important economic sector, in terms of both revenue and employment, at least in Senegal and Gambia. This also requires large amounts of water, as tourists have high rates of water consumption per inhabitant, including laundry, pools and gardening. This is a seasonal activity, which is reflected by a peak in demand for water during the tourist season. In Gambia, industry and commerce represent approximately 20 per cent of the domestic demand (NAWEC). </w:t>
      </w:r>
    </w:p>
    <w:p w14:paraId="7A3432FC" w14:textId="29145E0B" w:rsidR="007066A1" w:rsidRPr="007066A1" w:rsidRDefault="007066A1" w:rsidP="007066A1">
      <w:pPr>
        <w:pStyle w:val="Heading3"/>
        <w:rPr>
          <w:lang w:val="en-GB"/>
        </w:rPr>
      </w:pPr>
      <w:bookmarkStart w:id="29" w:name="_Toc53651776"/>
      <w:r w:rsidRPr="007066A1">
        <w:rPr>
          <w:lang w:val="en-GB"/>
        </w:rPr>
        <w:t>W</w:t>
      </w:r>
      <w:r>
        <w:rPr>
          <w:lang w:val="en-GB"/>
        </w:rPr>
        <w:t>ater Course and River Ecosystem Services</w:t>
      </w:r>
      <w:bookmarkEnd w:id="29"/>
    </w:p>
    <w:p w14:paraId="3F94D7B8" w14:textId="77777777" w:rsidR="007066A1" w:rsidRPr="007066A1" w:rsidRDefault="007066A1" w:rsidP="007066A1">
      <w:pPr>
        <w:rPr>
          <w:lang w:val="en-GB"/>
        </w:rPr>
      </w:pPr>
      <w:r w:rsidRPr="007066A1">
        <w:rPr>
          <w:lang w:val="en-GB"/>
        </w:rPr>
        <w:t>Some ecosystems are largely or even exclusively dependent on groundwater. These are known as groundwater dependent ecosystems (GDEs). According to a strategic overview of this topic published by AIH (2016), GDEs can be classified into three types:</w:t>
      </w:r>
    </w:p>
    <w:p w14:paraId="4C249685" w14:textId="346CE823" w:rsidR="007066A1" w:rsidRPr="007066A1" w:rsidRDefault="007066A1" w:rsidP="007066A1">
      <w:pPr>
        <w:pStyle w:val="ListParagraph"/>
        <w:numPr>
          <w:ilvl w:val="0"/>
          <w:numId w:val="39"/>
        </w:numPr>
        <w:rPr>
          <w:lang w:val="en-GB"/>
        </w:rPr>
      </w:pPr>
      <w:r w:rsidRPr="007066A1">
        <w:rPr>
          <w:lang w:val="en-GB"/>
        </w:rPr>
        <w:t>Aquatic: springs and wetlands, streams, rivers or lakes fed by groundwater;</w:t>
      </w:r>
    </w:p>
    <w:p w14:paraId="32AF3CA4" w14:textId="2E844ABB" w:rsidR="007066A1" w:rsidRPr="007066A1" w:rsidRDefault="007066A1" w:rsidP="007066A1">
      <w:pPr>
        <w:pStyle w:val="ListParagraph"/>
        <w:numPr>
          <w:ilvl w:val="0"/>
          <w:numId w:val="39"/>
        </w:numPr>
        <w:rPr>
          <w:lang w:val="en-GB"/>
        </w:rPr>
      </w:pPr>
      <w:r w:rsidRPr="007066A1">
        <w:rPr>
          <w:lang w:val="en-GB"/>
        </w:rPr>
        <w:t>Terrestrial: phreatophytes, that is, deep-rooted plants that draw water from the water table;</w:t>
      </w:r>
    </w:p>
    <w:p w14:paraId="07B62EA2" w14:textId="4E908F35" w:rsidR="007066A1" w:rsidRPr="007066A1" w:rsidRDefault="007066A1" w:rsidP="007066A1">
      <w:pPr>
        <w:pStyle w:val="ListParagraph"/>
        <w:numPr>
          <w:ilvl w:val="0"/>
          <w:numId w:val="39"/>
        </w:numPr>
        <w:rPr>
          <w:lang w:val="en-GB"/>
        </w:rPr>
      </w:pPr>
      <w:r w:rsidRPr="007066A1">
        <w:rPr>
          <w:lang w:val="en-GB"/>
        </w:rPr>
        <w:t>Subterranean: caves</w:t>
      </w:r>
    </w:p>
    <w:p w14:paraId="7327A22A" w14:textId="77777777" w:rsidR="007066A1" w:rsidRPr="007066A1" w:rsidRDefault="007066A1" w:rsidP="007066A1">
      <w:pPr>
        <w:rPr>
          <w:lang w:val="en-GB"/>
        </w:rPr>
      </w:pPr>
      <w:r w:rsidRPr="007066A1">
        <w:rPr>
          <w:lang w:val="en-GB"/>
        </w:rPr>
        <w:t xml:space="preserve">GDEs can have direct value for human populations, such as fishing, crop production, water storage and purification and tourism, as well as an indirect value in terms of landscape or habitat. Mangroves, lagoons, ponds and swamps can be found in the SMAB, in estuaries, the Great Green Wall and the Niayes region. Little information is available on the exact interactions between ecosystems and groundwater, with the exception of the Niayes region. The Niayes region is a 10 km-wide strip that extends along the Dakar coast at the mouth of the Senegal River. The region is characterized by sand dunes and small lakes and ponds fed by groundwater. The Niayes region plays a very important role in Senegal’s economy, and is used for grazing cattle, fishing, growing fruits, vegetables and market gardening (approximately 90 per cent of national production). </w:t>
      </w:r>
    </w:p>
    <w:p w14:paraId="528510A1" w14:textId="77777777" w:rsidR="007066A1" w:rsidRPr="007066A1" w:rsidRDefault="007066A1" w:rsidP="007066A1">
      <w:pPr>
        <w:rPr>
          <w:lang w:val="en-GB"/>
        </w:rPr>
      </w:pPr>
      <w:r w:rsidRPr="007066A1">
        <w:rPr>
          <w:lang w:val="en-GB"/>
        </w:rPr>
        <w:t>GDEs in the SMAB are usually linked to the superficial aquifer system. Still, further research is necessary to take stock of these ecosystems, and to study their dependence on aquifers. Mining, agriculture and extraction for supplying water to Dakar might present a threat of chemical pollution, as well as a drop in the water table level, which would lead to saltwater intrusion and degradation in the Niayes region.</w:t>
      </w:r>
    </w:p>
    <w:p w14:paraId="55DBD591" w14:textId="0D337792" w:rsidR="007066A1" w:rsidRPr="007066A1" w:rsidRDefault="007066A1" w:rsidP="007066A1">
      <w:pPr>
        <w:pStyle w:val="Heading2"/>
        <w:rPr>
          <w:lang w:val="en-GB"/>
        </w:rPr>
      </w:pPr>
      <w:bookmarkStart w:id="30" w:name="_Toc53651777"/>
      <w:r w:rsidRPr="007066A1">
        <w:rPr>
          <w:lang w:val="en-GB"/>
        </w:rPr>
        <w:t>S</w:t>
      </w:r>
      <w:r>
        <w:rPr>
          <w:lang w:val="en-GB"/>
        </w:rPr>
        <w:t>tudies Carried Out in the SMAB and Knowledge Gained</w:t>
      </w:r>
      <w:bookmarkEnd w:id="30"/>
    </w:p>
    <w:p w14:paraId="6D9CF6C9" w14:textId="77777777" w:rsidR="007066A1" w:rsidRPr="007066A1" w:rsidRDefault="007066A1" w:rsidP="007066A1">
      <w:pPr>
        <w:rPr>
          <w:lang w:val="en-GB"/>
        </w:rPr>
      </w:pPr>
      <w:r w:rsidRPr="007066A1">
        <w:rPr>
          <w:lang w:val="en-GB"/>
        </w:rPr>
        <w:t xml:space="preserve">Many studies and research projects have been conducted in the SMAB. Nonetheless, the most advanced hydrogeological knowledge in the SMAB is found in Senegal, where the history of hydrogeological research (DGPRE, 2011) has shown that most studies were concentrated in the Dakar region, which has the greatest needs. </w:t>
      </w:r>
    </w:p>
    <w:p w14:paraId="39B4786D" w14:textId="408FD00A" w:rsidR="007066A1" w:rsidRPr="007066A1" w:rsidRDefault="007066A1" w:rsidP="007066A1">
      <w:pPr>
        <w:rPr>
          <w:lang w:val="en-GB"/>
        </w:rPr>
      </w:pPr>
      <w:r w:rsidRPr="007066A1">
        <w:rPr>
          <w:lang w:val="en-GB"/>
        </w:rPr>
        <w:t xml:space="preserve">As a result, research has been focused on Dakar’s superficial aquifer system, before shifting toward the growing demand in the </w:t>
      </w:r>
      <w:r w:rsidR="00C536DB">
        <w:rPr>
          <w:lang w:val="en-GB"/>
        </w:rPr>
        <w:t>D</w:t>
      </w:r>
      <w:r w:rsidR="00C536DB" w:rsidRPr="007066A1">
        <w:rPr>
          <w:lang w:val="en-GB"/>
        </w:rPr>
        <w:t>iass</w:t>
      </w:r>
      <w:r w:rsidRPr="007066A1">
        <w:rPr>
          <w:lang w:val="en-GB"/>
        </w:rPr>
        <w:t xml:space="preserve"> horst zone, and focusing on the Maastrichtian aquifer, in connection with the Paleocene aquifer. Many mathematical models were used in order to evaluate the real capacity of the aquifers and plan extraction. It is worth noting that in the late 1990s, a study was initiated on the deep Maastrichtian aquifer, which shed new light on its hydraulic function. </w:t>
      </w:r>
    </w:p>
    <w:p w14:paraId="5B7CCDBB" w14:textId="77777777" w:rsidR="007066A1" w:rsidRPr="007066A1" w:rsidRDefault="007066A1" w:rsidP="007066A1">
      <w:pPr>
        <w:rPr>
          <w:lang w:val="en-GB"/>
        </w:rPr>
      </w:pPr>
      <w:r w:rsidRPr="007066A1">
        <w:rPr>
          <w:lang w:val="en-GB"/>
        </w:rPr>
        <w:t xml:space="preserve">In the rest of the country, studies have focused heavily on the location and characterization of aquifers, as well as their potential in areas with a mining industry, which consumes large amounts of water, tourist centres or areas favourable to transferring water toward other zones where the groundwater quality is mediocre (due to excess fluorine or salinity). </w:t>
      </w:r>
    </w:p>
    <w:p w14:paraId="5DED5A7F" w14:textId="682CE486" w:rsidR="007066A1" w:rsidRPr="007066A1" w:rsidRDefault="007066A1" w:rsidP="007066A1">
      <w:pPr>
        <w:rPr>
          <w:lang w:val="en-GB"/>
        </w:rPr>
      </w:pPr>
      <w:r w:rsidRPr="007066A1">
        <w:rPr>
          <w:lang w:val="en-GB"/>
        </w:rPr>
        <w:t xml:space="preserve">Studies have also been carried out in other SMAB countries, though not at the same magnitude of those conducted in Senegal. In Guinea Bissau, a first successful hydrogeological synthesis trial was carried out in 2002 with a description of aquifers; knowledge on aquifers has since been updated (2012), with a focus on the state of data management and evaluation. In Gambia, between </w:t>
      </w:r>
      <w:r w:rsidR="00213E39" w:rsidRPr="007066A1">
        <w:rPr>
          <w:lang w:val="en-GB"/>
        </w:rPr>
        <w:t>201</w:t>
      </w:r>
      <w:r w:rsidR="00213E39">
        <w:rPr>
          <w:lang w:val="en-GB"/>
        </w:rPr>
        <w:t>1</w:t>
      </w:r>
      <w:r w:rsidR="00213E39" w:rsidRPr="007066A1">
        <w:rPr>
          <w:lang w:val="en-GB"/>
        </w:rPr>
        <w:t xml:space="preserve"> </w:t>
      </w:r>
      <w:r w:rsidRPr="007066A1">
        <w:rPr>
          <w:lang w:val="en-GB"/>
        </w:rPr>
        <w:t>and 2015, a project on reforming the water sector, financed by the African Water Facility (AWF), led to several studies on:</w:t>
      </w:r>
    </w:p>
    <w:p w14:paraId="75B592A0" w14:textId="112BE91C" w:rsidR="007066A1" w:rsidRPr="007066A1" w:rsidRDefault="007066A1" w:rsidP="007066A1">
      <w:pPr>
        <w:pStyle w:val="ListParagraph"/>
        <w:numPr>
          <w:ilvl w:val="0"/>
          <w:numId w:val="40"/>
        </w:numPr>
        <w:rPr>
          <w:lang w:val="en-GB"/>
        </w:rPr>
      </w:pPr>
      <w:r w:rsidRPr="007066A1">
        <w:rPr>
          <w:lang w:val="en-GB"/>
        </w:rPr>
        <w:t>evaluating the country’s water resources and defining a management strategy;</w:t>
      </w:r>
    </w:p>
    <w:p w14:paraId="51C6F1D2" w14:textId="1D47E12B" w:rsidR="007066A1" w:rsidRPr="007066A1" w:rsidRDefault="007066A1" w:rsidP="007066A1">
      <w:pPr>
        <w:pStyle w:val="ListParagraph"/>
        <w:numPr>
          <w:ilvl w:val="0"/>
          <w:numId w:val="40"/>
        </w:numPr>
        <w:rPr>
          <w:lang w:val="en-GB"/>
        </w:rPr>
      </w:pPr>
      <w:r w:rsidRPr="007066A1">
        <w:rPr>
          <w:lang w:val="en-GB"/>
        </w:rPr>
        <w:t xml:space="preserve">geophysical research covering nearly the entire country, making it possible to identify sites for </w:t>
      </w:r>
      <w:r w:rsidR="00213E39">
        <w:rPr>
          <w:lang w:val="en-GB"/>
        </w:rPr>
        <w:t>groundwater monitoring</w:t>
      </w:r>
      <w:r w:rsidRPr="007066A1">
        <w:rPr>
          <w:lang w:val="en-GB"/>
        </w:rPr>
        <w:t>;</w:t>
      </w:r>
    </w:p>
    <w:p w14:paraId="5837DC21" w14:textId="6995E517" w:rsidR="007066A1" w:rsidRPr="007066A1" w:rsidRDefault="007066A1" w:rsidP="007066A1">
      <w:pPr>
        <w:pStyle w:val="ListParagraph"/>
        <w:numPr>
          <w:ilvl w:val="0"/>
          <w:numId w:val="40"/>
        </w:numPr>
        <w:rPr>
          <w:lang w:val="en-GB"/>
        </w:rPr>
      </w:pPr>
      <w:r w:rsidRPr="007066A1">
        <w:rPr>
          <w:lang w:val="en-GB"/>
        </w:rPr>
        <w:t xml:space="preserve">an aquifer system </w:t>
      </w:r>
      <w:r w:rsidR="0071734F" w:rsidRPr="007066A1">
        <w:rPr>
          <w:lang w:val="en-GB"/>
        </w:rPr>
        <w:t>mo</w:t>
      </w:r>
      <w:r w:rsidR="0071734F">
        <w:rPr>
          <w:lang w:val="en-GB"/>
        </w:rPr>
        <w:t>d</w:t>
      </w:r>
      <w:r w:rsidR="0071734F" w:rsidRPr="007066A1">
        <w:rPr>
          <w:lang w:val="en-GB"/>
        </w:rPr>
        <w:t>elling</w:t>
      </w:r>
      <w:r w:rsidRPr="007066A1">
        <w:rPr>
          <w:lang w:val="en-GB"/>
        </w:rPr>
        <w:t xml:space="preserve"> trial in Banjul, a zone with high levels of water consumption, in order to determine extraction potential and take stock of the water situation;</w:t>
      </w:r>
    </w:p>
    <w:p w14:paraId="7204CBD5" w14:textId="207D3BFC" w:rsidR="007066A1" w:rsidRPr="007066A1" w:rsidRDefault="007066A1" w:rsidP="007066A1">
      <w:pPr>
        <w:pStyle w:val="ListParagraph"/>
        <w:numPr>
          <w:ilvl w:val="0"/>
          <w:numId w:val="40"/>
        </w:numPr>
        <w:rPr>
          <w:lang w:val="en-GB"/>
        </w:rPr>
      </w:pPr>
      <w:r w:rsidRPr="007066A1">
        <w:rPr>
          <w:lang w:val="en-GB"/>
        </w:rPr>
        <w:t>hydrogeological mapping of the entire territory and defining a water quality framework and monitoring strategy.</w:t>
      </w:r>
    </w:p>
    <w:p w14:paraId="3D0C8F28" w14:textId="77777777" w:rsidR="007066A1" w:rsidRPr="007066A1" w:rsidRDefault="007066A1" w:rsidP="007066A1">
      <w:pPr>
        <w:rPr>
          <w:lang w:val="en-GB"/>
        </w:rPr>
      </w:pPr>
      <w:r w:rsidRPr="007066A1">
        <w:rPr>
          <w:lang w:val="en-GB"/>
        </w:rPr>
        <w:t xml:space="preserve">SMAB countries have collaborated on research to varying degrees with international agencies such as the IAEA, as well as with academia at the University of Dakar, via doctoral dissertations. Generally, this research has been focused on national issues in specific zones or aquifers, with the exception of those related to the Senegal River valley. In these studies, various approaches (model, isotopic geochemistry, hydrodynamics, etc.) have allowed for better understanding of the recharge process in aquifers in Mauritania and Senegal, as well as the dynamics of surface water and groundwater. </w:t>
      </w:r>
    </w:p>
    <w:p w14:paraId="25DCD736" w14:textId="77777777" w:rsidR="007066A1" w:rsidRPr="007066A1" w:rsidRDefault="007066A1" w:rsidP="007066A1">
      <w:pPr>
        <w:rPr>
          <w:lang w:val="en-GB"/>
        </w:rPr>
      </w:pPr>
      <w:r w:rsidRPr="007066A1">
        <w:rPr>
          <w:lang w:val="en-GB"/>
        </w:rPr>
        <w:t xml:space="preserve">Table 6 provides a non-exhaustive summary of some of the major studies carried out in SMAB countries since 2000. </w:t>
      </w:r>
    </w:p>
    <w:p w14:paraId="072E2FEC" w14:textId="77777777" w:rsidR="000564C4" w:rsidRDefault="000564C4" w:rsidP="007066A1">
      <w:pPr>
        <w:rPr>
          <w:lang w:val="en-GB"/>
        </w:rPr>
      </w:pPr>
    </w:p>
    <w:p w14:paraId="7891D3BA" w14:textId="49240DB2" w:rsidR="007B2544" w:rsidRDefault="007066A1" w:rsidP="007066A1">
      <w:pPr>
        <w:rPr>
          <w:lang w:val="en-GB"/>
        </w:rPr>
      </w:pPr>
      <w:r w:rsidRPr="007066A1">
        <w:rPr>
          <w:lang w:val="en-GB"/>
        </w:rPr>
        <w:t>Table 6: Summary of major studies and research on the SMAB</w:t>
      </w:r>
    </w:p>
    <w:tbl>
      <w:tblPr>
        <w:tblStyle w:val="GridTable5Dark-Accent16"/>
        <w:tblW w:w="9209" w:type="dxa"/>
        <w:tblLook w:val="04A0" w:firstRow="1" w:lastRow="0" w:firstColumn="1" w:lastColumn="0" w:noHBand="0" w:noVBand="1"/>
      </w:tblPr>
      <w:tblGrid>
        <w:gridCol w:w="2337"/>
        <w:gridCol w:w="2053"/>
        <w:gridCol w:w="4819"/>
      </w:tblGrid>
      <w:tr w:rsidR="00CD2913" w:rsidRPr="00CD2913" w14:paraId="54D460BB" w14:textId="77777777" w:rsidTr="00CD2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E81D348" w14:textId="77777777" w:rsidR="00CD2913" w:rsidRPr="00CD2913" w:rsidRDefault="00CD2913" w:rsidP="00CD2913">
            <w:pPr>
              <w:spacing w:before="0" w:after="0"/>
              <w:ind w:left="0"/>
              <w:jc w:val="left"/>
              <w:rPr>
                <w:rFonts w:ascii="Calibri" w:hAnsi="Calibri"/>
                <w:szCs w:val="22"/>
                <w:lang w:eastAsia="en-US"/>
              </w:rPr>
            </w:pPr>
            <w:r w:rsidRPr="00CD2913">
              <w:rPr>
                <w:rFonts w:ascii="Calibri" w:hAnsi="Calibri"/>
                <w:szCs w:val="22"/>
                <w:lang w:eastAsia="en-US"/>
              </w:rPr>
              <w:t>Nature of study/research</w:t>
            </w:r>
          </w:p>
        </w:tc>
        <w:tc>
          <w:tcPr>
            <w:tcW w:w="2053" w:type="dxa"/>
          </w:tcPr>
          <w:p w14:paraId="75932DC5" w14:textId="77777777" w:rsidR="00CD2913" w:rsidRPr="00CD2913" w:rsidRDefault="00CD2913" w:rsidP="00CD2913">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CD2913">
              <w:rPr>
                <w:rFonts w:ascii="Calibri" w:hAnsi="Calibri"/>
                <w:szCs w:val="22"/>
                <w:lang w:eastAsia="en-US"/>
              </w:rPr>
              <w:t>References</w:t>
            </w:r>
          </w:p>
        </w:tc>
        <w:tc>
          <w:tcPr>
            <w:tcW w:w="4819" w:type="dxa"/>
          </w:tcPr>
          <w:p w14:paraId="2A4FDCBF" w14:textId="77777777" w:rsidR="00CD2913" w:rsidRPr="00CD2913" w:rsidRDefault="00CD2913" w:rsidP="00CD2913">
            <w:pPr>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US"/>
              </w:rPr>
            </w:pPr>
            <w:r w:rsidRPr="00CD2913">
              <w:rPr>
                <w:rFonts w:ascii="Calibri" w:hAnsi="Calibri"/>
                <w:szCs w:val="22"/>
                <w:lang w:eastAsia="en-US"/>
              </w:rPr>
              <w:t>Main results (knowledge gained)</w:t>
            </w:r>
          </w:p>
        </w:tc>
      </w:tr>
      <w:tr w:rsidR="00CD2913" w:rsidRPr="002A76BD" w14:paraId="64071563" w14:textId="77777777" w:rsidTr="00CD2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28FBB80" w14:textId="77777777" w:rsidR="00CD2913" w:rsidRPr="00CD2913" w:rsidRDefault="00CD2913" w:rsidP="00CD2913">
            <w:pPr>
              <w:spacing w:before="0" w:after="0"/>
              <w:ind w:left="-34"/>
              <w:jc w:val="left"/>
              <w:rPr>
                <w:rFonts w:ascii="Calibri" w:hAnsi="Calibri"/>
                <w:szCs w:val="22"/>
                <w:lang w:eastAsia="en-US"/>
              </w:rPr>
            </w:pPr>
            <w:r w:rsidRPr="00CD2913">
              <w:rPr>
                <w:rFonts w:ascii="Calibri" w:hAnsi="Calibri"/>
                <w:szCs w:val="22"/>
                <w:lang w:eastAsia="en-US"/>
              </w:rPr>
              <w:t>Research (university and research institutes)</w:t>
            </w:r>
          </w:p>
          <w:p w14:paraId="0F1907FA" w14:textId="77777777" w:rsidR="00CD2913" w:rsidRPr="00CD2913" w:rsidRDefault="00CD2913" w:rsidP="00CD2913">
            <w:pPr>
              <w:spacing w:before="0" w:after="0"/>
              <w:ind w:left="-34"/>
              <w:jc w:val="left"/>
              <w:rPr>
                <w:rFonts w:ascii="Calibri" w:hAnsi="Calibri"/>
                <w:sz w:val="18"/>
                <w:szCs w:val="18"/>
                <w:lang w:eastAsia="en-US"/>
              </w:rPr>
            </w:pPr>
          </w:p>
        </w:tc>
        <w:tc>
          <w:tcPr>
            <w:tcW w:w="2053" w:type="dxa"/>
          </w:tcPr>
          <w:p w14:paraId="4E53B9A4"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Senegal: Faye. (2005). Diaw. (2008). Madioune (2012). Gning (2015). Dieng Ndao (2017)</w:t>
            </w:r>
          </w:p>
          <w:p w14:paraId="7D05AEC7"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IAEA: SEN/8/005 and SEN/8/006 (2002-2005); RAF/7/011 (2017)</w:t>
            </w:r>
          </w:p>
          <w:p w14:paraId="5E0EFF34"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Mauritania: Mohamed (2012)</w:t>
            </w:r>
          </w:p>
        </w:tc>
        <w:tc>
          <w:tcPr>
            <w:tcW w:w="4819" w:type="dxa"/>
          </w:tcPr>
          <w:p w14:paraId="006151ED"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Localization of superficial aquifer recharge zones, hydrodynamic behaviour and exchange flow between the aquifer and its limits (Saloum)</w:t>
            </w:r>
          </w:p>
          <w:p w14:paraId="30909105"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Water transfer process and solutes flow impacting recharge of the alluvial aquifer (Senegal River delta)</w:t>
            </w:r>
          </w:p>
          <w:p w14:paraId="35182ED5"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 xml:space="preserve">Exchange and supply process of the Diass horst aquifer system in a context of intensive extraction </w:t>
            </w:r>
          </w:p>
          <w:p w14:paraId="7BC96436"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Recharge conditions and mechanisms of superficial aquifers (Mauritania) and salinity limits of the deep aquifer saltwater band (Senegal)</w:t>
            </w:r>
          </w:p>
          <w:p w14:paraId="78166CB7"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 xml:space="preserve">Recharge process of the Trarza aquifer (Mauritania) via a hydrodynamic and geochemical approach </w:t>
            </w:r>
          </w:p>
          <w:p w14:paraId="0F55A77D" w14:textId="77777777" w:rsidR="00CD2913" w:rsidRPr="00CD2913" w:rsidRDefault="00CD2913" w:rsidP="00CD2913">
            <w:pPr>
              <w:spacing w:before="0" w:after="0"/>
              <w:ind w:left="108"/>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p>
        </w:tc>
      </w:tr>
      <w:tr w:rsidR="001A2257" w:rsidRPr="002A76BD" w14:paraId="4216D2F2" w14:textId="77777777" w:rsidTr="00CD2913">
        <w:tc>
          <w:tcPr>
            <w:cnfStyle w:val="001000000000" w:firstRow="0" w:lastRow="0" w:firstColumn="1" w:lastColumn="0" w:oddVBand="0" w:evenVBand="0" w:oddHBand="0" w:evenHBand="0" w:firstRowFirstColumn="0" w:firstRowLastColumn="0" w:lastRowFirstColumn="0" w:lastRowLastColumn="0"/>
            <w:tcW w:w="2337" w:type="dxa"/>
          </w:tcPr>
          <w:p w14:paraId="7ECC72E5" w14:textId="77777777" w:rsidR="00CD2913" w:rsidRPr="00CD2913" w:rsidRDefault="00CD2913" w:rsidP="00CD2913">
            <w:pPr>
              <w:spacing w:before="0" w:after="0"/>
              <w:ind w:left="-34"/>
              <w:jc w:val="left"/>
              <w:rPr>
                <w:rFonts w:ascii="Calibri" w:hAnsi="Calibri"/>
                <w:szCs w:val="22"/>
                <w:lang w:eastAsia="en-US"/>
              </w:rPr>
            </w:pPr>
            <w:r w:rsidRPr="00CD2913">
              <w:rPr>
                <w:rFonts w:ascii="Calibri" w:hAnsi="Calibri"/>
                <w:szCs w:val="22"/>
                <w:lang w:eastAsia="en-US"/>
              </w:rPr>
              <w:t xml:space="preserve">Studies on specific high-consumption sectors </w:t>
            </w:r>
          </w:p>
          <w:p w14:paraId="0460A5AB" w14:textId="77777777" w:rsidR="00CD2913" w:rsidRPr="00CD2913" w:rsidRDefault="00CD2913" w:rsidP="00CD2913">
            <w:pPr>
              <w:spacing w:before="0" w:after="0"/>
              <w:ind w:left="-34"/>
              <w:jc w:val="left"/>
              <w:rPr>
                <w:rFonts w:ascii="Calibri" w:hAnsi="Calibri"/>
                <w:sz w:val="18"/>
                <w:szCs w:val="18"/>
                <w:lang w:eastAsia="en-US"/>
              </w:rPr>
            </w:pPr>
          </w:p>
        </w:tc>
        <w:tc>
          <w:tcPr>
            <w:tcW w:w="2053" w:type="dxa"/>
          </w:tcPr>
          <w:p w14:paraId="0AC048F2" w14:textId="77777777" w:rsidR="00CD2913" w:rsidRPr="00CD2913" w:rsidRDefault="00CD2913" w:rsidP="00CD2913">
            <w:pPr>
              <w:numPr>
                <w:ilvl w:val="0"/>
                <w:numId w:val="41"/>
              </w:numPr>
              <w:spacing w:before="0" w:after="0"/>
              <w:ind w:left="108" w:hanging="142"/>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Gambia: Niras (2014 and 2015)</w:t>
            </w:r>
          </w:p>
          <w:p w14:paraId="0DBB2BC2" w14:textId="77777777" w:rsidR="00CD2913" w:rsidRPr="00CD2913" w:rsidRDefault="00CD2913" w:rsidP="00CD2913">
            <w:pPr>
              <w:numPr>
                <w:ilvl w:val="0"/>
                <w:numId w:val="41"/>
              </w:numPr>
              <w:spacing w:before="0" w:after="0"/>
              <w:ind w:left="108" w:hanging="142"/>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Guinea Bissau Joseph &amp; Lasry (2012)</w:t>
            </w:r>
          </w:p>
          <w:p w14:paraId="608A5BA9" w14:textId="0945B634" w:rsidR="00CD2913" w:rsidRPr="00CD2913" w:rsidRDefault="00CD2913" w:rsidP="00CD2913">
            <w:pPr>
              <w:numPr>
                <w:ilvl w:val="0"/>
                <w:numId w:val="41"/>
              </w:numPr>
              <w:spacing w:before="0" w:after="0"/>
              <w:ind w:left="108" w:hanging="142"/>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val="es-ES" w:eastAsia="en-US"/>
              </w:rPr>
              <w:t xml:space="preserve">Senegal PEPAM/PSEA (2016-2017). PEAMU (2017-2018). </w:t>
            </w:r>
            <w:r w:rsidR="00742AF1">
              <w:rPr>
                <w:rFonts w:ascii="Calibri" w:hAnsi="Calibri"/>
                <w:sz w:val="18"/>
                <w:szCs w:val="18"/>
                <w:lang w:val="es-ES" w:eastAsia="en-US"/>
              </w:rPr>
              <w:t>DGPRE</w:t>
            </w:r>
            <w:r w:rsidR="00742AF1" w:rsidRPr="00CD2913">
              <w:rPr>
                <w:rFonts w:ascii="Calibri" w:hAnsi="Calibri"/>
                <w:sz w:val="18"/>
                <w:szCs w:val="18"/>
                <w:lang w:val="es-ES" w:eastAsia="en-US"/>
              </w:rPr>
              <w:t xml:space="preserve"> </w:t>
            </w:r>
            <w:r w:rsidRPr="00CD2913">
              <w:rPr>
                <w:rFonts w:ascii="Calibri" w:hAnsi="Calibri"/>
                <w:sz w:val="18"/>
                <w:szCs w:val="18"/>
                <w:lang w:val="es-ES" w:eastAsia="en-US"/>
              </w:rPr>
              <w:t xml:space="preserve">(2016). </w:t>
            </w:r>
            <w:r w:rsidR="00742AF1">
              <w:rPr>
                <w:rFonts w:ascii="Calibri" w:hAnsi="Calibri"/>
                <w:sz w:val="18"/>
                <w:szCs w:val="18"/>
                <w:lang w:eastAsia="en-US"/>
              </w:rPr>
              <w:t>DGPRE</w:t>
            </w:r>
            <w:r w:rsidRPr="00CD2913">
              <w:rPr>
                <w:rFonts w:ascii="Calibri" w:hAnsi="Calibri"/>
                <w:sz w:val="18"/>
                <w:szCs w:val="18"/>
                <w:lang w:eastAsia="en-US"/>
              </w:rPr>
              <w:t xml:space="preserve"> (2013-2015)</w:t>
            </w:r>
          </w:p>
        </w:tc>
        <w:tc>
          <w:tcPr>
            <w:tcW w:w="4819" w:type="dxa"/>
          </w:tcPr>
          <w:p w14:paraId="36EB465A" w14:textId="77777777" w:rsidR="00CD2913" w:rsidRPr="00CD2913" w:rsidRDefault="00CD2913" w:rsidP="00CD2913">
            <w:pPr>
              <w:numPr>
                <w:ilvl w:val="0"/>
                <w:numId w:val="41"/>
              </w:numPr>
              <w:spacing w:before="0" w:after="0"/>
              <w:ind w:left="108" w:hanging="142"/>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Water demand and availability analysis, extraction impact simulation and outcome in the Banjul zone (GBA)</w:t>
            </w:r>
          </w:p>
          <w:p w14:paraId="7AF6AA02" w14:textId="77777777" w:rsidR="00CD2913" w:rsidRPr="00CD2913" w:rsidRDefault="00CD2913" w:rsidP="00CD2913">
            <w:pPr>
              <w:numPr>
                <w:ilvl w:val="0"/>
                <w:numId w:val="41"/>
              </w:numPr>
              <w:spacing w:before="0" w:after="0"/>
              <w:ind w:left="108" w:hanging="142"/>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The state of hydrological and hydrogeological data in Guinea Bissau and their evaluation to strengthen water quality and availability</w:t>
            </w:r>
          </w:p>
          <w:p w14:paraId="63E4FB39" w14:textId="77777777" w:rsidR="00CD2913" w:rsidRPr="00CD2913" w:rsidRDefault="00CD2913" w:rsidP="00CD2913">
            <w:pPr>
              <w:numPr>
                <w:ilvl w:val="0"/>
                <w:numId w:val="41"/>
              </w:numPr>
              <w:spacing w:before="0" w:after="0"/>
              <w:ind w:left="108" w:hanging="142"/>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 xml:space="preserve">Hydrodynamic and hydrochemical functioning of the superficial system in the Sine-Gambia zone. Evaluation of potentially mobilizable water resources </w:t>
            </w:r>
          </w:p>
          <w:p w14:paraId="62869425" w14:textId="77777777" w:rsidR="00CD2913" w:rsidRPr="00CD2913" w:rsidRDefault="00CD2913" w:rsidP="00CD2913">
            <w:pPr>
              <w:numPr>
                <w:ilvl w:val="0"/>
                <w:numId w:val="41"/>
              </w:numPr>
              <w:spacing w:before="0" w:after="0"/>
              <w:ind w:left="108" w:hanging="142"/>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 xml:space="preserve">Hydraulic functioning and evaluation of potential in the Diass horst aquifer system </w:t>
            </w:r>
          </w:p>
          <w:p w14:paraId="5FEE327F" w14:textId="77777777" w:rsidR="00CD2913" w:rsidRPr="00CD2913" w:rsidRDefault="00CD2913" w:rsidP="00CD2913">
            <w:pPr>
              <w:numPr>
                <w:ilvl w:val="0"/>
                <w:numId w:val="41"/>
              </w:numPr>
              <w:spacing w:before="0" w:after="0"/>
              <w:ind w:left="108" w:hanging="142"/>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 xml:space="preserve">Physicochemical and chemical characterization and evaluation of potential in the superficial Basse Casamance aquifer system </w:t>
            </w:r>
          </w:p>
          <w:p w14:paraId="501410EC" w14:textId="526B9ADE" w:rsidR="00CD2913" w:rsidRPr="00CD2913" w:rsidRDefault="00CD2913" w:rsidP="00CD2913">
            <w:pPr>
              <w:numPr>
                <w:ilvl w:val="0"/>
                <w:numId w:val="41"/>
              </w:numPr>
              <w:spacing w:before="0" w:after="0"/>
              <w:ind w:left="108" w:hanging="142"/>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 xml:space="preserve">Potential in the deep aquifer central zone for transfer toward the </w:t>
            </w:r>
            <w:r w:rsidR="00213E39" w:rsidRPr="00CD2913">
              <w:rPr>
                <w:rFonts w:ascii="Calibri" w:hAnsi="Calibri"/>
                <w:sz w:val="18"/>
                <w:szCs w:val="18"/>
                <w:lang w:eastAsia="en-US"/>
              </w:rPr>
              <w:t>Ground</w:t>
            </w:r>
            <w:r w:rsidR="00213E39">
              <w:rPr>
                <w:rFonts w:ascii="Calibri" w:hAnsi="Calibri"/>
                <w:sz w:val="18"/>
                <w:szCs w:val="18"/>
                <w:lang w:eastAsia="en-US"/>
              </w:rPr>
              <w:t>water</w:t>
            </w:r>
            <w:r w:rsidR="00213E39" w:rsidRPr="00CD2913">
              <w:rPr>
                <w:rFonts w:ascii="Calibri" w:hAnsi="Calibri"/>
                <w:sz w:val="18"/>
                <w:szCs w:val="18"/>
                <w:lang w:eastAsia="en-US"/>
              </w:rPr>
              <w:t xml:space="preserve"> </w:t>
            </w:r>
            <w:r w:rsidRPr="00CD2913">
              <w:rPr>
                <w:rFonts w:ascii="Calibri" w:hAnsi="Calibri"/>
                <w:sz w:val="18"/>
                <w:szCs w:val="18"/>
                <w:lang w:eastAsia="en-US"/>
              </w:rPr>
              <w:t>Basin, where water is fluoridated and saline</w:t>
            </w:r>
          </w:p>
          <w:p w14:paraId="2CD9FEF5" w14:textId="77777777" w:rsidR="00CD2913" w:rsidRPr="00CD2913" w:rsidRDefault="00CD2913" w:rsidP="00CD2913">
            <w:pPr>
              <w:spacing w:before="0" w:after="0"/>
              <w:ind w:left="108"/>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lang w:eastAsia="en-US"/>
              </w:rPr>
            </w:pPr>
          </w:p>
        </w:tc>
      </w:tr>
      <w:tr w:rsidR="00CD2913" w:rsidRPr="00EF7B10" w14:paraId="60B94C2E" w14:textId="77777777" w:rsidTr="00CD2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0A774DF" w14:textId="77777777" w:rsidR="00CD2913" w:rsidRPr="00CD2913" w:rsidRDefault="00CD2913" w:rsidP="00CD2913">
            <w:pPr>
              <w:spacing w:before="0" w:after="0"/>
              <w:ind w:left="-34"/>
              <w:jc w:val="left"/>
              <w:rPr>
                <w:rFonts w:ascii="Calibri" w:hAnsi="Calibri"/>
                <w:sz w:val="18"/>
                <w:szCs w:val="18"/>
                <w:lang w:eastAsia="en-US"/>
              </w:rPr>
            </w:pPr>
            <w:r w:rsidRPr="00CD2913">
              <w:rPr>
                <w:rFonts w:ascii="Calibri" w:hAnsi="Calibri"/>
                <w:szCs w:val="22"/>
                <w:lang w:eastAsia="en-US"/>
              </w:rPr>
              <w:t>Synthesis studies</w:t>
            </w:r>
            <w:r w:rsidRPr="00CD2913">
              <w:rPr>
                <w:rFonts w:ascii="Calibri" w:hAnsi="Calibri"/>
                <w:sz w:val="18"/>
                <w:szCs w:val="18"/>
                <w:lang w:eastAsia="en-US"/>
              </w:rPr>
              <w:t xml:space="preserve"> </w:t>
            </w:r>
          </w:p>
        </w:tc>
        <w:tc>
          <w:tcPr>
            <w:tcW w:w="2053" w:type="dxa"/>
          </w:tcPr>
          <w:p w14:paraId="333B3227"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Guinea Bissau DGRH (2002)</w:t>
            </w:r>
          </w:p>
          <w:p w14:paraId="00FFE348"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Gambia: Nirvas (2015)</w:t>
            </w:r>
          </w:p>
          <w:p w14:paraId="73BEE95A"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Senegal Cowi/ Polyconsult (2001)</w:t>
            </w:r>
          </w:p>
          <w:p w14:paraId="7E0B1FFC"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Mauritania: CNRE (2016)</w:t>
            </w:r>
          </w:p>
        </w:tc>
        <w:tc>
          <w:tcPr>
            <w:tcW w:w="4819" w:type="dxa"/>
          </w:tcPr>
          <w:p w14:paraId="0BD7051B"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Hydrogeological synthesis of all aquifers and their potential and hydrodynamic functioning</w:t>
            </w:r>
          </w:p>
          <w:p w14:paraId="52EB8857"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 xml:space="preserve">Hydrogeological mapping of Gambia with geological sections </w:t>
            </w:r>
          </w:p>
          <w:p w14:paraId="30DA5FE7"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 xml:space="preserve">Hydrogeological study of the Maastrichtian aquifer with chemical and isotopic data synthesis, and hydrodynamic functioning of the deep aquifer </w:t>
            </w:r>
          </w:p>
          <w:p w14:paraId="449DE2C8" w14:textId="77777777" w:rsidR="00CD2913" w:rsidRPr="00CD2913" w:rsidRDefault="00CD2913" w:rsidP="00CD2913">
            <w:pPr>
              <w:numPr>
                <w:ilvl w:val="0"/>
                <w:numId w:val="41"/>
              </w:numPr>
              <w:spacing w:before="0" w:after="0"/>
              <w:ind w:left="108" w:hanging="142"/>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r w:rsidRPr="00CD2913">
              <w:rPr>
                <w:rFonts w:ascii="Calibri" w:hAnsi="Calibri"/>
                <w:sz w:val="18"/>
                <w:szCs w:val="18"/>
                <w:lang w:eastAsia="en-US"/>
              </w:rPr>
              <w:t>Succinct synthesis of the Mauritanian SMAB aquifers, their features and potential</w:t>
            </w:r>
          </w:p>
          <w:p w14:paraId="7811DF88" w14:textId="77777777" w:rsidR="00CD2913" w:rsidRPr="00CD2913" w:rsidRDefault="00CD2913" w:rsidP="00CD2913">
            <w:pPr>
              <w:spacing w:before="0" w:after="0"/>
              <w:ind w:left="108"/>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lang w:eastAsia="en-US"/>
              </w:rPr>
            </w:pPr>
          </w:p>
        </w:tc>
      </w:tr>
    </w:tbl>
    <w:p w14:paraId="167FEAAD" w14:textId="05FB5435" w:rsidR="00CD2913" w:rsidRDefault="00CD2913" w:rsidP="007066A1">
      <w:pPr>
        <w:rPr>
          <w:lang w:val="en-US"/>
        </w:rPr>
      </w:pPr>
    </w:p>
    <w:p w14:paraId="62DFA001" w14:textId="77777777" w:rsidR="00781630" w:rsidRPr="00781630" w:rsidRDefault="00781630" w:rsidP="00781630">
      <w:pPr>
        <w:rPr>
          <w:lang w:val="en-GB"/>
        </w:rPr>
      </w:pPr>
      <w:r w:rsidRPr="00781630">
        <w:rPr>
          <w:lang w:val="en-GB"/>
        </w:rPr>
        <w:t>A literature review reveals that SMAB countries have indeed conducted many studies and research projects on aquifers and acquired significant knowledge. However, this is sectorial and fragmented with regard to transboundary aquifer units. Most often, the studies focus on the section of the aquifer system within their own country, or in a zone supplying urban areas with high demand (Dakar, Banjul, to a lesser degree Nouakchott or Bissau). It appears that efforts are necessary to improve knowledge on the behaviour of the aquifer system as a whole in order to better understand its functioning in the face of influx (recharge) and removal (extraction), considering:</w:t>
      </w:r>
    </w:p>
    <w:p w14:paraId="380A2573" w14:textId="03B23DBB" w:rsidR="00781630" w:rsidRPr="00781630" w:rsidRDefault="00781630" w:rsidP="00781630">
      <w:pPr>
        <w:pStyle w:val="ListParagraph"/>
        <w:numPr>
          <w:ilvl w:val="0"/>
          <w:numId w:val="42"/>
        </w:numPr>
        <w:rPr>
          <w:lang w:val="en-GB"/>
        </w:rPr>
      </w:pPr>
      <w:r w:rsidRPr="00781630">
        <w:rPr>
          <w:lang w:val="en-GB"/>
        </w:rPr>
        <w:t>A comprehensive overview of aquifer systems as a whole, using a comprehensive model implemented as a management and extraction planning tool;</w:t>
      </w:r>
    </w:p>
    <w:p w14:paraId="784B7382" w14:textId="47C2BEFA" w:rsidR="00781630" w:rsidRPr="00781630" w:rsidRDefault="00781630" w:rsidP="00781630">
      <w:pPr>
        <w:pStyle w:val="ListParagraph"/>
        <w:numPr>
          <w:ilvl w:val="0"/>
          <w:numId w:val="42"/>
        </w:numPr>
        <w:rPr>
          <w:lang w:val="en-GB"/>
        </w:rPr>
      </w:pPr>
      <w:r w:rsidRPr="00781630">
        <w:rPr>
          <w:lang w:val="en-GB"/>
        </w:rPr>
        <w:t>Recharge zones and the recharge rate and process, particularly in the south of the SMAB in Guinea Bissau;</w:t>
      </w:r>
    </w:p>
    <w:p w14:paraId="019B2E0D" w14:textId="41D01C4F" w:rsidR="00781630" w:rsidRPr="00781630" w:rsidRDefault="00781630" w:rsidP="00781630">
      <w:pPr>
        <w:pStyle w:val="ListParagraph"/>
        <w:numPr>
          <w:ilvl w:val="0"/>
          <w:numId w:val="42"/>
        </w:numPr>
        <w:rPr>
          <w:lang w:val="en-GB"/>
        </w:rPr>
      </w:pPr>
      <w:r w:rsidRPr="00781630">
        <w:rPr>
          <w:lang w:val="en-GB"/>
        </w:rPr>
        <w:t>The geographical limit of saline groundwater in the central part of the Maastrichtian aquifer, as well as in the superficial system in Mauritania;</w:t>
      </w:r>
    </w:p>
    <w:p w14:paraId="39426AE3" w14:textId="120018EF" w:rsidR="00781630" w:rsidRPr="00781630" w:rsidRDefault="00781630" w:rsidP="00781630">
      <w:pPr>
        <w:pStyle w:val="ListParagraph"/>
        <w:numPr>
          <w:ilvl w:val="0"/>
          <w:numId w:val="42"/>
        </w:numPr>
        <w:rPr>
          <w:lang w:val="en-GB"/>
        </w:rPr>
      </w:pPr>
      <w:r w:rsidRPr="00781630">
        <w:rPr>
          <w:lang w:val="en-GB"/>
        </w:rPr>
        <w:t>Demarcation and functioning of the transboundary superficial aquifer system between Senegal and Mauritania in one part, and between Gambia, Guinea Bissau and Senegal in the other;</w:t>
      </w:r>
    </w:p>
    <w:p w14:paraId="440B48DA" w14:textId="643311C7" w:rsidR="00781630" w:rsidRPr="00781630" w:rsidRDefault="00781630" w:rsidP="00781630">
      <w:pPr>
        <w:pStyle w:val="ListParagraph"/>
        <w:numPr>
          <w:ilvl w:val="0"/>
          <w:numId w:val="42"/>
        </w:numPr>
        <w:rPr>
          <w:lang w:val="en-GB"/>
        </w:rPr>
      </w:pPr>
      <w:r w:rsidRPr="00781630">
        <w:rPr>
          <w:lang w:val="en-GB"/>
        </w:rPr>
        <w:t>Man</w:t>
      </w:r>
      <w:r w:rsidR="002A13FB">
        <w:rPr>
          <w:lang w:val="en-GB"/>
        </w:rPr>
        <w:t>-</w:t>
      </w:r>
      <w:r w:rsidRPr="00781630">
        <w:rPr>
          <w:lang w:val="en-GB"/>
        </w:rPr>
        <w:t>made pollution of the superficial aquifer system, particularly in the hotspots of Banjul and Bissau.</w:t>
      </w:r>
    </w:p>
    <w:p w14:paraId="4D6080C2" w14:textId="4269DFD6" w:rsidR="00CD2913" w:rsidRDefault="00781630" w:rsidP="00781630">
      <w:pPr>
        <w:rPr>
          <w:lang w:val="en-GB"/>
        </w:rPr>
      </w:pPr>
      <w:r w:rsidRPr="00781630">
        <w:rPr>
          <w:lang w:val="en-GB"/>
        </w:rPr>
        <w:t>It must nonetheless be noted that research is underway with participation from Cheikh Ana Diop University, the DGPRE and the IAEA on the issue of recharge in the southern part of the aquifer basin.</w:t>
      </w:r>
    </w:p>
    <w:p w14:paraId="72BCEB35" w14:textId="5EFEDB51" w:rsidR="00E916B3" w:rsidRDefault="00E916B3">
      <w:pPr>
        <w:spacing w:before="0" w:after="0"/>
        <w:ind w:left="0"/>
        <w:jc w:val="left"/>
        <w:rPr>
          <w:lang w:val="en-GB"/>
        </w:rPr>
      </w:pPr>
      <w:r>
        <w:rPr>
          <w:lang w:val="en-GB"/>
        </w:rPr>
        <w:br w:type="page"/>
      </w:r>
    </w:p>
    <w:p w14:paraId="72309EC5" w14:textId="2AE3CFA8" w:rsidR="00E916B3" w:rsidRPr="002A76BD" w:rsidRDefault="00E916B3" w:rsidP="001D5373">
      <w:pPr>
        <w:rPr>
          <w:color w:val="5B9BD5" w:themeColor="accent1"/>
          <w:sz w:val="28"/>
          <w:szCs w:val="32"/>
          <w:lang w:val="en-GB"/>
        </w:rPr>
      </w:pPr>
      <w:r w:rsidRPr="002A76BD">
        <w:rPr>
          <w:color w:val="5B9BD5" w:themeColor="accent1"/>
          <w:sz w:val="28"/>
          <w:szCs w:val="32"/>
          <w:lang w:val="en-GB"/>
        </w:rPr>
        <w:t>References</w:t>
      </w:r>
    </w:p>
    <w:p w14:paraId="65828C02" w14:textId="77777777" w:rsidR="002A6BA9" w:rsidRPr="003219D1" w:rsidRDefault="002A6BA9" w:rsidP="002A6BA9">
      <w:pPr>
        <w:rPr>
          <w:lang w:val="fr-SN"/>
        </w:rPr>
      </w:pPr>
      <w:r w:rsidRPr="003219D1">
        <w:rPr>
          <w:lang w:val="en-US"/>
        </w:rPr>
        <w:t xml:space="preserve">Altchenko </w:t>
      </w:r>
      <w:r>
        <w:rPr>
          <w:lang w:val="en-US"/>
        </w:rPr>
        <w:t xml:space="preserve">Y. </w:t>
      </w:r>
      <w:r w:rsidRPr="003219D1">
        <w:rPr>
          <w:lang w:val="en-US"/>
        </w:rPr>
        <w:t xml:space="preserve">&amp; Villholth </w:t>
      </w:r>
      <w:r>
        <w:rPr>
          <w:lang w:val="en-US"/>
        </w:rPr>
        <w:t xml:space="preserve">K. G. </w:t>
      </w:r>
      <w:r w:rsidRPr="003219D1">
        <w:rPr>
          <w:lang w:val="en-US"/>
        </w:rPr>
        <w:t>(2013</w:t>
      </w:r>
      <w:r>
        <w:rPr>
          <w:lang w:val="en-US"/>
        </w:rPr>
        <w:t xml:space="preserve">) - </w:t>
      </w:r>
      <w:r w:rsidRPr="000F1579">
        <w:rPr>
          <w:lang w:val="en-US"/>
        </w:rPr>
        <w:t>Transboundary aquifer mapping and management in Africa:</w:t>
      </w:r>
      <w:r>
        <w:rPr>
          <w:lang w:val="en-US"/>
        </w:rPr>
        <w:t xml:space="preserve"> </w:t>
      </w:r>
      <w:r w:rsidRPr="000F1579">
        <w:rPr>
          <w:lang w:val="en-US"/>
        </w:rPr>
        <w:t>a harmonised approach</w:t>
      </w:r>
      <w:r>
        <w:rPr>
          <w:lang w:val="en-US"/>
        </w:rPr>
        <w:t xml:space="preserve">. </w:t>
      </w:r>
      <w:r w:rsidRPr="003219D1">
        <w:rPr>
          <w:lang w:val="fr-SN"/>
        </w:rPr>
        <w:t>Hydrogeology Journal (2013) 21: 1497–1517</w:t>
      </w:r>
    </w:p>
    <w:p w14:paraId="6DEA54F8" w14:textId="77777777" w:rsidR="002A6BA9" w:rsidRDefault="002A6BA9" w:rsidP="002A6BA9">
      <w:pPr>
        <w:rPr>
          <w:lang w:val="fr-SN"/>
        </w:rPr>
      </w:pPr>
      <w:r w:rsidRPr="00A10E83">
        <w:rPr>
          <w:lang w:val="fr-SN"/>
        </w:rPr>
        <w:t>CNRE (2016)</w:t>
      </w:r>
      <w:r>
        <w:rPr>
          <w:lang w:val="fr-SN"/>
        </w:rPr>
        <w:t xml:space="preserve"> - S</w:t>
      </w:r>
      <w:r w:rsidRPr="00A10E83">
        <w:rPr>
          <w:lang w:val="fr-SN"/>
        </w:rPr>
        <w:t>ynthèse des ressources en eau souterraine</w:t>
      </w:r>
      <w:r>
        <w:rPr>
          <w:lang w:val="fr-SN"/>
        </w:rPr>
        <w:t xml:space="preserve"> </w:t>
      </w:r>
      <w:r w:rsidRPr="00A10E83">
        <w:rPr>
          <w:lang w:val="fr-SN"/>
        </w:rPr>
        <w:t>de la Mauritanie</w:t>
      </w:r>
      <w:r>
        <w:rPr>
          <w:lang w:val="fr-SN"/>
        </w:rPr>
        <w:t xml:space="preserve">. </w:t>
      </w:r>
      <w:r w:rsidRPr="004F0B15">
        <w:rPr>
          <w:lang w:val="fr-SN"/>
        </w:rPr>
        <w:t xml:space="preserve">Centre </w:t>
      </w:r>
      <w:r>
        <w:rPr>
          <w:lang w:val="fr-SN"/>
        </w:rPr>
        <w:t>N</w:t>
      </w:r>
      <w:r w:rsidRPr="004F0B15">
        <w:rPr>
          <w:lang w:val="fr-SN"/>
        </w:rPr>
        <w:t xml:space="preserve">ational des </w:t>
      </w:r>
      <w:r>
        <w:rPr>
          <w:lang w:val="fr-SN"/>
        </w:rPr>
        <w:t>R</w:t>
      </w:r>
      <w:r w:rsidRPr="004F0B15">
        <w:rPr>
          <w:lang w:val="fr-SN"/>
        </w:rPr>
        <w:t xml:space="preserve">essources en </w:t>
      </w:r>
      <w:r>
        <w:rPr>
          <w:lang w:val="fr-SN"/>
        </w:rPr>
        <w:t>E</w:t>
      </w:r>
      <w:r w:rsidRPr="004F0B15">
        <w:rPr>
          <w:lang w:val="fr-SN"/>
        </w:rPr>
        <w:t>au</w:t>
      </w:r>
      <w:r>
        <w:rPr>
          <w:lang w:val="fr-SN"/>
        </w:rPr>
        <w:t xml:space="preserve"> (CNRE). 10p</w:t>
      </w:r>
    </w:p>
    <w:p w14:paraId="668AB6FE" w14:textId="77777777" w:rsidR="002A6BA9" w:rsidRDefault="002A6BA9" w:rsidP="002A6BA9">
      <w:pPr>
        <w:rPr>
          <w:lang w:val="fr-SN"/>
        </w:rPr>
      </w:pPr>
      <w:r w:rsidRPr="003A6223">
        <w:rPr>
          <w:lang w:val="fr-SN"/>
        </w:rPr>
        <w:t xml:space="preserve">DGPRE </w:t>
      </w:r>
      <w:r>
        <w:rPr>
          <w:lang w:val="fr-SN"/>
        </w:rPr>
        <w:t>(</w:t>
      </w:r>
      <w:r w:rsidRPr="003A6223">
        <w:rPr>
          <w:lang w:val="fr-SN"/>
        </w:rPr>
        <w:t>2001</w:t>
      </w:r>
      <w:r>
        <w:rPr>
          <w:lang w:val="fr-SN"/>
        </w:rPr>
        <w:t xml:space="preserve">) - </w:t>
      </w:r>
      <w:r w:rsidRPr="003D6F65">
        <w:rPr>
          <w:lang w:val="fr-SN"/>
        </w:rPr>
        <w:t>Etude hydrogéologique de la nappe</w:t>
      </w:r>
      <w:r>
        <w:rPr>
          <w:lang w:val="fr-SN"/>
        </w:rPr>
        <w:t xml:space="preserve"> </w:t>
      </w:r>
      <w:r w:rsidRPr="003D6F65">
        <w:rPr>
          <w:lang w:val="fr-SN"/>
        </w:rPr>
        <w:t>profonde du Maastrichtien, Sénégal</w:t>
      </w:r>
      <w:r>
        <w:rPr>
          <w:lang w:val="fr-SN"/>
        </w:rPr>
        <w:t xml:space="preserve">. </w:t>
      </w:r>
      <w:r w:rsidRPr="003D6F65">
        <w:rPr>
          <w:lang w:val="fr-SN"/>
        </w:rPr>
        <w:t>Caractéristiques hydrogéologiques</w:t>
      </w:r>
      <w:r>
        <w:rPr>
          <w:lang w:val="fr-SN"/>
        </w:rPr>
        <w:t xml:space="preserve"> </w:t>
      </w:r>
      <w:r w:rsidRPr="003D6F65">
        <w:rPr>
          <w:lang w:val="fr-SN"/>
        </w:rPr>
        <w:t>du système aquifère maastrichtien au Sénégal</w:t>
      </w:r>
      <w:r>
        <w:rPr>
          <w:lang w:val="fr-SN"/>
        </w:rPr>
        <w:t xml:space="preserve">. </w:t>
      </w:r>
      <w:r w:rsidRPr="003D6F65">
        <w:rPr>
          <w:lang w:val="fr-SN"/>
        </w:rPr>
        <w:t>Rapport de synthèse</w:t>
      </w:r>
      <w:r>
        <w:rPr>
          <w:lang w:val="fr-SN"/>
        </w:rPr>
        <w:t xml:space="preserve"> de Cowi/Polyconsult, 111p.</w:t>
      </w:r>
    </w:p>
    <w:p w14:paraId="45643ABA" w14:textId="77777777" w:rsidR="002A6BA9" w:rsidRDefault="002A6BA9" w:rsidP="002A6BA9">
      <w:r w:rsidRPr="003219D1">
        <w:rPr>
          <w:lang w:val="fr-SN"/>
        </w:rPr>
        <w:t xml:space="preserve">DGPRE (2011) - </w:t>
      </w:r>
      <w:r w:rsidRPr="00A52999">
        <w:t>Étude du Projet de mise en œuvre du Plan d’Action de Gestion Intégrée des Ressources en Eau du Sénégal</w:t>
      </w:r>
      <w:r>
        <w:t xml:space="preserve">. Première partie : les ressources du milieu physique et Bilan diagnostic des ressources en eau. Rapport </w:t>
      </w:r>
      <w:r w:rsidRPr="00755665">
        <w:t>IDEV-ic ex SENAGROSOL / COWI</w:t>
      </w:r>
      <w:r>
        <w:t>. 116p.</w:t>
      </w:r>
    </w:p>
    <w:p w14:paraId="44575306" w14:textId="77777777" w:rsidR="002A6BA9" w:rsidRPr="003219D1" w:rsidRDefault="002A6BA9" w:rsidP="002A6BA9">
      <w:pPr>
        <w:rPr>
          <w:lang w:val="fr-SN"/>
        </w:rPr>
      </w:pPr>
      <w:r w:rsidRPr="007B5802">
        <w:t>DGPRE (2013-2015)</w:t>
      </w:r>
      <w:r>
        <w:t xml:space="preserve"> - Etudes hydrogéologiques pour l’évaluation des potentialités des ressources en eau des zones favorables en vue d’un transfert d’eau vers le Bassin Arachidier. Projet de mise en œuvre du plan d’action de Gestion Intégrée des Ressources en Eau dans le Bassin Arachidier (PAGIRE-BA). Rapport par SETICO &amp; ANTEA GROUP.</w:t>
      </w:r>
    </w:p>
    <w:p w14:paraId="083832EC" w14:textId="77777777" w:rsidR="002A6BA9" w:rsidRDefault="002A6BA9" w:rsidP="002A6BA9">
      <w:r w:rsidRPr="003219D1">
        <w:rPr>
          <w:lang w:val="fr-SN"/>
        </w:rPr>
        <w:t>DGPRE (201</w:t>
      </w:r>
      <w:r>
        <w:rPr>
          <w:lang w:val="fr-SN"/>
        </w:rPr>
        <w:t>6</w:t>
      </w:r>
      <w:r w:rsidRPr="003219D1">
        <w:rPr>
          <w:lang w:val="fr-SN"/>
        </w:rPr>
        <w:t>)</w:t>
      </w:r>
      <w:r>
        <w:rPr>
          <w:lang w:val="fr-SN"/>
        </w:rPr>
        <w:t xml:space="preserve"> - </w:t>
      </w:r>
      <w:r>
        <w:t xml:space="preserve">Etude d’évaluation des Potentialités des Ressources en Eau en vue d’alimenter La Zone de Cap Skirring. </w:t>
      </w:r>
    </w:p>
    <w:p w14:paraId="5D53D5B3" w14:textId="77777777" w:rsidR="002A6BA9" w:rsidRPr="00947B8D" w:rsidRDefault="002A6BA9" w:rsidP="002A6BA9">
      <w:r w:rsidRPr="003219D1">
        <w:rPr>
          <w:lang w:val="fr-SN"/>
        </w:rPr>
        <w:t xml:space="preserve">DGPRE (2018) - Étude hydrogéologique complémentaire du système du horst de </w:t>
      </w:r>
      <w:r>
        <w:rPr>
          <w:lang w:val="fr-SN"/>
        </w:rPr>
        <w:t>D</w:t>
      </w:r>
      <w:r w:rsidRPr="00947B8D">
        <w:rPr>
          <w:lang w:val="fr-SN"/>
        </w:rPr>
        <w:t>iass</w:t>
      </w:r>
      <w:r>
        <w:rPr>
          <w:lang w:val="fr-SN"/>
        </w:rPr>
        <w:t xml:space="preserve">. </w:t>
      </w:r>
      <w:r w:rsidRPr="00947B8D">
        <w:rPr>
          <w:lang w:val="fr-SN"/>
        </w:rPr>
        <w:t xml:space="preserve">Projet Eau et </w:t>
      </w:r>
      <w:r>
        <w:rPr>
          <w:lang w:val="fr-SN"/>
        </w:rPr>
        <w:t>A</w:t>
      </w:r>
      <w:r w:rsidRPr="00947B8D">
        <w:rPr>
          <w:lang w:val="fr-SN"/>
        </w:rPr>
        <w:t>ssainissement en Milieu Urbain (PEAMU)</w:t>
      </w:r>
      <w:r>
        <w:rPr>
          <w:lang w:val="fr-SN"/>
        </w:rPr>
        <w:t>. Rapports au nombre de 5 de Setico / Antea Group.</w:t>
      </w:r>
    </w:p>
    <w:p w14:paraId="770C9773" w14:textId="77777777" w:rsidR="002A6BA9" w:rsidRDefault="002A6BA9" w:rsidP="002A6BA9">
      <w:r w:rsidRPr="001A2BCF">
        <w:t>DGRH (2002)</w:t>
      </w:r>
      <w:r>
        <w:t xml:space="preserve"> - Les ressources en eau souterraine de la Guinée-Bissau. </w:t>
      </w:r>
      <w:r w:rsidRPr="001A2BCF">
        <w:t>Premier essai de synthèse hydrogéologique</w:t>
      </w:r>
      <w:r>
        <w:t xml:space="preserve">. </w:t>
      </w:r>
      <w:r w:rsidRPr="001A2BCF">
        <w:t>Direction Générale des Ressources Hydriques</w:t>
      </w:r>
      <w:r>
        <w:t xml:space="preserve">. </w:t>
      </w:r>
      <w:r w:rsidRPr="001A2BCF">
        <w:t>Projet PNUD/DAES GBS-93-001</w:t>
      </w:r>
      <w:r>
        <w:t>. 103p</w:t>
      </w:r>
    </w:p>
    <w:p w14:paraId="5CEC0859" w14:textId="77777777" w:rsidR="002A6BA9" w:rsidRDefault="002A6BA9" w:rsidP="002A6BA9">
      <w:r w:rsidRPr="00952362">
        <w:t>Diaw</w:t>
      </w:r>
      <w:r>
        <w:t xml:space="preserve"> M</w:t>
      </w:r>
      <w:r w:rsidRPr="00952362">
        <w:t>. (2008)</w:t>
      </w:r>
      <w:r>
        <w:t xml:space="preserve"> - </w:t>
      </w:r>
      <w:r w:rsidRPr="0003221C">
        <w:t>Approches hydrochimique et isotopique de la relation eau de surface/nappe et du mode de recharge de la nappe alluviale dans l’estuaire et la basse vallée du fleuve Sénégal</w:t>
      </w:r>
      <w:r>
        <w:t>. Thèse doctorat 3</w:t>
      </w:r>
      <w:r w:rsidRPr="003219D1">
        <w:rPr>
          <w:vertAlign w:val="superscript"/>
        </w:rPr>
        <w:t>ème</w:t>
      </w:r>
      <w:r>
        <w:t xml:space="preserve"> cycle </w:t>
      </w:r>
      <w:r w:rsidRPr="0010417A">
        <w:rPr>
          <w:lang w:val="fr-SN"/>
        </w:rPr>
        <w:t>Université Ch A. Diop</w:t>
      </w:r>
      <w:r>
        <w:rPr>
          <w:lang w:val="fr-SN"/>
        </w:rPr>
        <w:t xml:space="preserve"> </w:t>
      </w:r>
      <w:r w:rsidRPr="0010417A">
        <w:rPr>
          <w:lang w:val="fr-SN"/>
        </w:rPr>
        <w:t>Dakar/ Sénégal</w:t>
      </w:r>
      <w:r>
        <w:t xml:space="preserve"> </w:t>
      </w:r>
    </w:p>
    <w:p w14:paraId="059DC569" w14:textId="77777777" w:rsidR="002A6BA9" w:rsidRDefault="002A6BA9" w:rsidP="002A6BA9">
      <w:r w:rsidRPr="00037443">
        <w:t>Dieng Ndao (2017)</w:t>
      </w:r>
      <w:r>
        <w:t xml:space="preserve"> - Étude de la relation eaux de surface-eaux souterraines dans un contexte de changements climatiques dans la zone Sud du bassin du Saloum (Sénégal). Apport des outils géochimiques, isotopiques, de la télédétection, des SIG et de la modélisation. </w:t>
      </w:r>
      <w:r w:rsidRPr="00112CC1">
        <w:rPr>
          <w:lang w:val="fr-SN"/>
        </w:rPr>
        <w:t>Thèse de Doctorat</w:t>
      </w:r>
      <w:r>
        <w:rPr>
          <w:lang w:val="fr-SN"/>
        </w:rPr>
        <w:t xml:space="preserve"> </w:t>
      </w:r>
      <w:r w:rsidRPr="00112CC1">
        <w:rPr>
          <w:lang w:val="fr-SN"/>
        </w:rPr>
        <w:t>en Sciences de l’Ingénieur</w:t>
      </w:r>
      <w:r>
        <w:rPr>
          <w:lang w:val="fr-SN"/>
        </w:rPr>
        <w:t xml:space="preserve"> de l’</w:t>
      </w:r>
      <w:r w:rsidRPr="00C80C78">
        <w:rPr>
          <w:lang w:val="fr-SN"/>
        </w:rPr>
        <w:t xml:space="preserve">Université de Liège, Liège, </w:t>
      </w:r>
      <w:r>
        <w:rPr>
          <w:lang w:val="fr-SN"/>
        </w:rPr>
        <w:t>Belgique. 281p</w:t>
      </w:r>
    </w:p>
    <w:p w14:paraId="0BDBFE95" w14:textId="77777777" w:rsidR="002A6BA9" w:rsidRDefault="002A6BA9" w:rsidP="002A6BA9">
      <w:r w:rsidRPr="00C54514">
        <w:t xml:space="preserve">Euronet et Commission Européenne (2013) </w:t>
      </w:r>
      <w:r>
        <w:t xml:space="preserve">- </w:t>
      </w:r>
      <w:r w:rsidRPr="00C54514">
        <w:t>Profil Environnemental de la Mauritanie</w:t>
      </w:r>
      <w:r>
        <w:t>.</w:t>
      </w:r>
    </w:p>
    <w:p w14:paraId="67DA1173" w14:textId="77777777" w:rsidR="002A6BA9" w:rsidRDefault="002A6BA9" w:rsidP="002A6BA9">
      <w:pPr>
        <w:rPr>
          <w:lang w:val="fr-SN"/>
        </w:rPr>
      </w:pPr>
      <w:r w:rsidRPr="0010417A">
        <w:rPr>
          <w:lang w:val="fr-SN"/>
        </w:rPr>
        <w:t>Faye</w:t>
      </w:r>
      <w:r>
        <w:rPr>
          <w:lang w:val="fr-SN"/>
        </w:rPr>
        <w:t xml:space="preserve"> S</w:t>
      </w:r>
      <w:r w:rsidRPr="0010417A">
        <w:rPr>
          <w:lang w:val="fr-SN"/>
        </w:rPr>
        <w:t>. (2005)</w:t>
      </w:r>
      <w:r>
        <w:rPr>
          <w:lang w:val="fr-SN"/>
        </w:rPr>
        <w:t xml:space="preserve"> - </w:t>
      </w:r>
      <w:r w:rsidRPr="0010417A">
        <w:rPr>
          <w:lang w:val="fr-SN"/>
        </w:rPr>
        <w:t>Apports des outils géochimiques et</w:t>
      </w:r>
      <w:r>
        <w:rPr>
          <w:lang w:val="fr-SN"/>
        </w:rPr>
        <w:t xml:space="preserve"> </w:t>
      </w:r>
      <w:r w:rsidRPr="0010417A">
        <w:rPr>
          <w:lang w:val="fr-SN"/>
        </w:rPr>
        <w:t>isotopiques à l’identification des sources de salinité et à</w:t>
      </w:r>
      <w:r>
        <w:rPr>
          <w:lang w:val="fr-SN"/>
        </w:rPr>
        <w:t xml:space="preserve"> </w:t>
      </w:r>
      <w:r w:rsidRPr="0010417A">
        <w:rPr>
          <w:lang w:val="fr-SN"/>
        </w:rPr>
        <w:t>l’évaluation du régime d’écoulement de la nappe du Saloum.</w:t>
      </w:r>
      <w:r>
        <w:rPr>
          <w:lang w:val="fr-SN"/>
        </w:rPr>
        <w:t xml:space="preserve"> </w:t>
      </w:r>
      <w:r w:rsidRPr="0010417A">
        <w:rPr>
          <w:lang w:val="fr-SN"/>
        </w:rPr>
        <w:t>Thèse Doctorat d’Etat es Sciences. Université Ch A. Diop</w:t>
      </w:r>
      <w:r>
        <w:rPr>
          <w:lang w:val="fr-SN"/>
        </w:rPr>
        <w:t xml:space="preserve"> </w:t>
      </w:r>
      <w:r w:rsidRPr="0010417A">
        <w:rPr>
          <w:lang w:val="fr-SN"/>
        </w:rPr>
        <w:t>Dakar/ Sénégal.</w:t>
      </w:r>
    </w:p>
    <w:p w14:paraId="285E263F" w14:textId="77777777" w:rsidR="002A6BA9" w:rsidRPr="002A76BD" w:rsidRDefault="002A6BA9" w:rsidP="002A6BA9">
      <w:pPr>
        <w:rPr>
          <w:lang w:val="en-US"/>
        </w:rPr>
      </w:pPr>
      <w:r w:rsidRPr="00112CC1">
        <w:rPr>
          <w:lang w:val="fr-SN"/>
        </w:rPr>
        <w:t>Gning</w:t>
      </w:r>
      <w:r>
        <w:rPr>
          <w:lang w:val="fr-SN"/>
        </w:rPr>
        <w:t xml:space="preserve"> A. A.</w:t>
      </w:r>
      <w:r w:rsidRPr="00112CC1">
        <w:rPr>
          <w:lang w:val="fr-SN"/>
        </w:rPr>
        <w:t xml:space="preserve"> (2015)</w:t>
      </w:r>
      <w:r>
        <w:rPr>
          <w:lang w:val="fr-SN"/>
        </w:rPr>
        <w:t xml:space="preserve"> - </w:t>
      </w:r>
      <w:r w:rsidRPr="00112CC1">
        <w:rPr>
          <w:lang w:val="fr-SN"/>
        </w:rPr>
        <w:t>Etude et Modélisation Hydrogéologique des Interactions Eaux de Surface-Eaux Souterraines dans un Contexte d’Agriculture Irriguée dans le Delta du Fleuve Sénégal</w:t>
      </w:r>
      <w:r>
        <w:rPr>
          <w:lang w:val="fr-SN"/>
        </w:rPr>
        <w:t xml:space="preserve">. </w:t>
      </w:r>
      <w:r w:rsidRPr="00112CC1">
        <w:rPr>
          <w:lang w:val="fr-SN"/>
        </w:rPr>
        <w:t>Thèse de Doctorat</w:t>
      </w:r>
      <w:r>
        <w:rPr>
          <w:lang w:val="fr-SN"/>
        </w:rPr>
        <w:t xml:space="preserve"> </w:t>
      </w:r>
      <w:r w:rsidRPr="00112CC1">
        <w:rPr>
          <w:lang w:val="fr-SN"/>
        </w:rPr>
        <w:t>en Sciences de l’Ingénieur</w:t>
      </w:r>
      <w:r>
        <w:rPr>
          <w:lang w:val="fr-SN"/>
        </w:rPr>
        <w:t xml:space="preserve"> de l’</w:t>
      </w:r>
      <w:r w:rsidRPr="00C80C78">
        <w:rPr>
          <w:lang w:val="fr-SN"/>
        </w:rPr>
        <w:t xml:space="preserve">Université de Liège, Liège, </w:t>
      </w:r>
      <w:r>
        <w:rPr>
          <w:lang w:val="fr-SN"/>
        </w:rPr>
        <w:t xml:space="preserve">Belgique. </w:t>
      </w:r>
      <w:r w:rsidRPr="002A76BD">
        <w:rPr>
          <w:lang w:val="en-US"/>
        </w:rPr>
        <w:t>259p</w:t>
      </w:r>
    </w:p>
    <w:p w14:paraId="4DE7185F" w14:textId="77777777" w:rsidR="002A6BA9" w:rsidRPr="003219D1" w:rsidRDefault="002A6BA9" w:rsidP="002A6BA9">
      <w:pPr>
        <w:rPr>
          <w:lang w:val="fr-SN"/>
        </w:rPr>
      </w:pPr>
      <w:r w:rsidRPr="002A76BD">
        <w:rPr>
          <w:lang w:val="en-US"/>
        </w:rPr>
        <w:t xml:space="preserve">IGRAC, UNESCOIHP (2015). </w:t>
      </w:r>
      <w:r w:rsidRPr="003219D1">
        <w:rPr>
          <w:lang w:val="en-US"/>
        </w:rPr>
        <w:t xml:space="preserve">Transboundary Aquifers of Africa. Based on: Transboundary Aquifers of the World [map]. </w:t>
      </w:r>
      <w:r w:rsidRPr="003219D1">
        <w:rPr>
          <w:lang w:val="fr-SN"/>
        </w:rPr>
        <w:t>Edition 2015. Delft, Netherlands: IGRAC, 2015.</w:t>
      </w:r>
    </w:p>
    <w:p w14:paraId="2B925F83" w14:textId="77777777" w:rsidR="002A6BA9" w:rsidRPr="002A76BD" w:rsidRDefault="002A6BA9" w:rsidP="002A6BA9">
      <w:pPr>
        <w:rPr>
          <w:lang w:val="fr-SN"/>
        </w:rPr>
      </w:pPr>
      <w:r w:rsidRPr="00265EB7">
        <w:rPr>
          <w:lang w:val="fr-FR"/>
        </w:rPr>
        <w:t xml:space="preserve">Joseph </w:t>
      </w:r>
      <w:r>
        <w:rPr>
          <w:lang w:val="fr-FR"/>
        </w:rPr>
        <w:t xml:space="preserve">A. </w:t>
      </w:r>
      <w:r w:rsidRPr="00265EB7">
        <w:rPr>
          <w:lang w:val="fr-FR"/>
        </w:rPr>
        <w:t xml:space="preserve">et Lasry </w:t>
      </w:r>
      <w:r>
        <w:rPr>
          <w:lang w:val="fr-FR"/>
        </w:rPr>
        <w:t>F. (</w:t>
      </w:r>
      <w:r w:rsidRPr="00265EB7">
        <w:rPr>
          <w:lang w:val="fr-FR"/>
        </w:rPr>
        <w:t>2012</w:t>
      </w:r>
      <w:r>
        <w:rPr>
          <w:lang w:val="fr-FR"/>
        </w:rPr>
        <w:t>) - H</w:t>
      </w:r>
      <w:r w:rsidRPr="008E50A2">
        <w:rPr>
          <w:lang w:val="fr-FR"/>
        </w:rPr>
        <w:t>ydrométrie, gestion et valorisation des données hydrologiques nationales</w:t>
      </w:r>
      <w:r>
        <w:rPr>
          <w:lang w:val="fr-FR"/>
        </w:rPr>
        <w:t xml:space="preserve">. </w:t>
      </w:r>
      <w:r w:rsidRPr="008E50A2">
        <w:rPr>
          <w:lang w:val="fr-FR"/>
        </w:rPr>
        <w:t xml:space="preserve">Ressource </w:t>
      </w:r>
      <w:r>
        <w:rPr>
          <w:lang w:val="fr-FR"/>
        </w:rPr>
        <w:t>e</w:t>
      </w:r>
      <w:r w:rsidRPr="008E50A2">
        <w:rPr>
          <w:lang w:val="fr-FR"/>
        </w:rPr>
        <w:t xml:space="preserve">n </w:t>
      </w:r>
      <w:r>
        <w:rPr>
          <w:lang w:val="fr-FR"/>
        </w:rPr>
        <w:t>e</w:t>
      </w:r>
      <w:r w:rsidRPr="008E50A2">
        <w:rPr>
          <w:lang w:val="fr-FR"/>
        </w:rPr>
        <w:t>au De La Guin</w:t>
      </w:r>
      <w:r>
        <w:rPr>
          <w:lang w:val="fr-FR"/>
        </w:rPr>
        <w:t>é</w:t>
      </w:r>
      <w:r w:rsidRPr="008E50A2">
        <w:rPr>
          <w:lang w:val="fr-FR"/>
        </w:rPr>
        <w:t>e-Bissau</w:t>
      </w:r>
      <w:r>
        <w:rPr>
          <w:lang w:val="fr-FR"/>
        </w:rPr>
        <w:t xml:space="preserve">, </w:t>
      </w:r>
      <w:r w:rsidRPr="008E50A2">
        <w:rPr>
          <w:lang w:val="fr-FR"/>
        </w:rPr>
        <w:t>Contrat cadre bénéficiaires 2009</w:t>
      </w:r>
      <w:r>
        <w:rPr>
          <w:lang w:val="fr-FR"/>
        </w:rPr>
        <w:t xml:space="preserve"> ; </w:t>
      </w:r>
      <w:r w:rsidRPr="008E50A2">
        <w:rPr>
          <w:lang w:val="fr-FR"/>
        </w:rPr>
        <w:t>Lot n° 2 ; transport et infrastructures Europe Aid/127054/C/SER/multi</w:t>
      </w:r>
      <w:r>
        <w:rPr>
          <w:lang w:val="fr-FR"/>
        </w:rPr>
        <w:t xml:space="preserve"> ; </w:t>
      </w:r>
      <w:r w:rsidRPr="008E50A2">
        <w:rPr>
          <w:lang w:val="fr-FR"/>
        </w:rPr>
        <w:t>Demande de prestation 2011/275790</w:t>
      </w:r>
      <w:r>
        <w:rPr>
          <w:lang w:val="fr-FR"/>
        </w:rPr>
        <w:t xml:space="preserve">. </w:t>
      </w:r>
      <w:r w:rsidRPr="002A76BD">
        <w:rPr>
          <w:lang w:val="fr-SN"/>
        </w:rPr>
        <w:t>Rapport final 134p.</w:t>
      </w:r>
    </w:p>
    <w:p w14:paraId="2966E661" w14:textId="77777777" w:rsidR="002A6BA9" w:rsidRPr="002A76BD" w:rsidRDefault="002A6BA9" w:rsidP="002A6BA9">
      <w:pPr>
        <w:rPr>
          <w:lang w:val="fr-SN"/>
        </w:rPr>
      </w:pPr>
    </w:p>
    <w:p w14:paraId="6BA0DD25" w14:textId="77777777" w:rsidR="002A6BA9" w:rsidRPr="003219D1" w:rsidRDefault="002A6BA9" w:rsidP="002A6BA9">
      <w:pPr>
        <w:rPr>
          <w:lang w:val="fr-SN"/>
        </w:rPr>
      </w:pPr>
      <w:r w:rsidRPr="003219D1">
        <w:rPr>
          <w:lang w:val="fr-SN"/>
        </w:rPr>
        <w:t xml:space="preserve">Madioune </w:t>
      </w:r>
      <w:r>
        <w:rPr>
          <w:lang w:val="fr-SN"/>
        </w:rPr>
        <w:t>D.</w:t>
      </w:r>
      <w:r w:rsidRPr="003219D1">
        <w:rPr>
          <w:lang w:val="fr-SN"/>
        </w:rPr>
        <w:t xml:space="preserve">H. (2012) - </w:t>
      </w:r>
      <w:r w:rsidRPr="00636C6C">
        <w:rPr>
          <w:lang w:val="fr-SN"/>
        </w:rPr>
        <w:t>Etude hydrogéologique du système aquifère du horst de Diass en condition d’exploitation intensive (bassin sédimentaire sénégalais) : apport des techniques de télédétection, modélisation, géochimie et isotopie</w:t>
      </w:r>
      <w:r>
        <w:rPr>
          <w:lang w:val="fr-SN"/>
        </w:rPr>
        <w:t xml:space="preserve">. </w:t>
      </w:r>
      <w:r w:rsidRPr="00C80C78">
        <w:rPr>
          <w:lang w:val="fr-SN"/>
        </w:rPr>
        <w:t>Thèse de doctorat</w:t>
      </w:r>
      <w:r>
        <w:rPr>
          <w:lang w:val="fr-SN"/>
        </w:rPr>
        <w:t xml:space="preserve"> </w:t>
      </w:r>
      <w:r w:rsidRPr="00C80C78">
        <w:rPr>
          <w:lang w:val="fr-SN"/>
        </w:rPr>
        <w:t>en Sciences de l'Ingénieur</w:t>
      </w:r>
      <w:r>
        <w:rPr>
          <w:lang w:val="fr-SN"/>
        </w:rPr>
        <w:t xml:space="preserve"> de l’</w:t>
      </w:r>
      <w:r w:rsidRPr="00C80C78">
        <w:rPr>
          <w:lang w:val="fr-SN"/>
        </w:rPr>
        <w:t xml:space="preserve">Université de Liège, Liège, </w:t>
      </w:r>
      <w:r>
        <w:rPr>
          <w:lang w:val="fr-SN"/>
        </w:rPr>
        <w:t>Belgique. 325p.</w:t>
      </w:r>
    </w:p>
    <w:p w14:paraId="55EF92A9" w14:textId="77777777" w:rsidR="002A6BA9" w:rsidRPr="006F0DC9" w:rsidRDefault="002A6BA9" w:rsidP="002A6BA9">
      <w:pPr>
        <w:rPr>
          <w:lang w:val="en-US"/>
        </w:rPr>
      </w:pPr>
      <w:r w:rsidRPr="00265EB7">
        <w:rPr>
          <w:lang w:val="fr-FR"/>
        </w:rPr>
        <w:t>Mohamed</w:t>
      </w:r>
      <w:r>
        <w:rPr>
          <w:lang w:val="fr-FR"/>
        </w:rPr>
        <w:t xml:space="preserve"> A. S.</w:t>
      </w:r>
      <w:r w:rsidRPr="00265EB7">
        <w:rPr>
          <w:lang w:val="fr-FR"/>
        </w:rPr>
        <w:t xml:space="preserve"> </w:t>
      </w:r>
      <w:r>
        <w:rPr>
          <w:lang w:val="fr-FR"/>
        </w:rPr>
        <w:t>(</w:t>
      </w:r>
      <w:r w:rsidRPr="00265EB7">
        <w:rPr>
          <w:lang w:val="fr-FR"/>
        </w:rPr>
        <w:t>2012</w:t>
      </w:r>
      <w:r>
        <w:rPr>
          <w:lang w:val="fr-FR"/>
        </w:rPr>
        <w:t xml:space="preserve">) - </w:t>
      </w:r>
      <w:r w:rsidRPr="003330A0">
        <w:rPr>
          <w:lang w:val="fr-FR"/>
        </w:rPr>
        <w:t>Approches hydrodynamique et géochimique de la recharge de la nappe du Trarza, sud-ouest de la Mauritanie</w:t>
      </w:r>
      <w:r>
        <w:rPr>
          <w:lang w:val="fr-FR"/>
        </w:rPr>
        <w:t xml:space="preserve">. </w:t>
      </w:r>
      <w:r w:rsidRPr="003330A0">
        <w:rPr>
          <w:lang w:val="fr-FR"/>
        </w:rPr>
        <w:t>Thèse de doctorat</w:t>
      </w:r>
      <w:r>
        <w:rPr>
          <w:lang w:val="fr-FR"/>
        </w:rPr>
        <w:t xml:space="preserve"> en </w:t>
      </w:r>
      <w:r w:rsidRPr="003330A0">
        <w:rPr>
          <w:lang w:val="fr-FR"/>
        </w:rPr>
        <w:t>Sciences de la terre</w:t>
      </w:r>
      <w:r>
        <w:rPr>
          <w:lang w:val="fr-FR"/>
        </w:rPr>
        <w:t xml:space="preserve"> de l’</w:t>
      </w:r>
      <w:r w:rsidRPr="003330A0">
        <w:rPr>
          <w:lang w:val="fr-FR"/>
        </w:rPr>
        <w:t>université Paris-Sud École Doctorale : MIPEGE</w:t>
      </w:r>
      <w:r>
        <w:rPr>
          <w:lang w:val="fr-FR"/>
        </w:rPr>
        <w:t xml:space="preserve">. </w:t>
      </w:r>
      <w:r w:rsidRPr="003219D1">
        <w:rPr>
          <w:lang w:val="en-US"/>
        </w:rPr>
        <w:t>180p.</w:t>
      </w:r>
    </w:p>
    <w:p w14:paraId="691863DF" w14:textId="77777777" w:rsidR="002A6BA9" w:rsidRPr="003219D1" w:rsidRDefault="002A6BA9" w:rsidP="002A6BA9">
      <w:pPr>
        <w:rPr>
          <w:lang w:val="en-US"/>
        </w:rPr>
      </w:pPr>
      <w:r w:rsidRPr="003219D1">
        <w:rPr>
          <w:lang w:val="en-US"/>
        </w:rPr>
        <w:t xml:space="preserve">NIRAS </w:t>
      </w:r>
      <w:r>
        <w:rPr>
          <w:lang w:val="en-US"/>
        </w:rPr>
        <w:t>(</w:t>
      </w:r>
      <w:r w:rsidRPr="003219D1">
        <w:rPr>
          <w:lang w:val="en-US"/>
        </w:rPr>
        <w:t>2013</w:t>
      </w:r>
      <w:r>
        <w:rPr>
          <w:lang w:val="en-US"/>
        </w:rPr>
        <w:t>) - G</w:t>
      </w:r>
      <w:r w:rsidRPr="00544578">
        <w:rPr>
          <w:lang w:val="en-US"/>
        </w:rPr>
        <w:t>eophysical exploration</w:t>
      </w:r>
      <w:r>
        <w:rPr>
          <w:lang w:val="en-US"/>
        </w:rPr>
        <w:t xml:space="preserve"> </w:t>
      </w:r>
      <w:r w:rsidRPr="00544578">
        <w:rPr>
          <w:lang w:val="en-US"/>
        </w:rPr>
        <w:t>for optimal location</w:t>
      </w:r>
      <w:r>
        <w:rPr>
          <w:lang w:val="en-US"/>
        </w:rPr>
        <w:t xml:space="preserve"> </w:t>
      </w:r>
      <w:r w:rsidRPr="00544578">
        <w:rPr>
          <w:lang w:val="en-US"/>
        </w:rPr>
        <w:t>of monitoring boreholes</w:t>
      </w:r>
      <w:r>
        <w:rPr>
          <w:lang w:val="en-US"/>
        </w:rPr>
        <w:t xml:space="preserve">. </w:t>
      </w:r>
      <w:r w:rsidRPr="00AD6EE1">
        <w:rPr>
          <w:lang w:val="en-US"/>
        </w:rPr>
        <w:t>Consultancy Services</w:t>
      </w:r>
      <w:r>
        <w:rPr>
          <w:lang w:val="en-US"/>
        </w:rPr>
        <w:t xml:space="preserve"> </w:t>
      </w:r>
      <w:r w:rsidRPr="00AD6EE1">
        <w:rPr>
          <w:lang w:val="en-US"/>
        </w:rPr>
        <w:t>for the</w:t>
      </w:r>
      <w:r>
        <w:rPr>
          <w:lang w:val="en-US"/>
        </w:rPr>
        <w:t xml:space="preserve"> </w:t>
      </w:r>
      <w:r w:rsidRPr="00AD6EE1">
        <w:rPr>
          <w:lang w:val="en-US"/>
        </w:rPr>
        <w:t>National Water Sector Reform Studies for</w:t>
      </w:r>
      <w:r>
        <w:rPr>
          <w:lang w:val="en-US"/>
        </w:rPr>
        <w:t xml:space="preserve"> </w:t>
      </w:r>
      <w:r w:rsidRPr="00AD6EE1">
        <w:rPr>
          <w:lang w:val="en-US"/>
        </w:rPr>
        <w:t>The Gambia</w:t>
      </w:r>
      <w:r>
        <w:rPr>
          <w:lang w:val="en-US"/>
        </w:rPr>
        <w:t>. 25p.</w:t>
      </w:r>
    </w:p>
    <w:p w14:paraId="3E3F2A1D" w14:textId="77777777" w:rsidR="002A6BA9" w:rsidRDefault="002A6BA9" w:rsidP="002A6BA9">
      <w:pPr>
        <w:rPr>
          <w:lang w:val="en-US"/>
        </w:rPr>
      </w:pPr>
      <w:r w:rsidRPr="003219D1">
        <w:rPr>
          <w:lang w:val="en-US"/>
        </w:rPr>
        <w:t xml:space="preserve">NIRAS </w:t>
      </w:r>
      <w:r>
        <w:rPr>
          <w:lang w:val="en-US"/>
        </w:rPr>
        <w:t>(</w:t>
      </w:r>
      <w:r w:rsidRPr="003219D1">
        <w:rPr>
          <w:lang w:val="en-US"/>
        </w:rPr>
        <w:t>201</w:t>
      </w:r>
      <w:r>
        <w:rPr>
          <w:lang w:val="en-US"/>
        </w:rPr>
        <w:t xml:space="preserve">4) - </w:t>
      </w:r>
      <w:r w:rsidRPr="006F0DC9">
        <w:rPr>
          <w:lang w:val="en-US"/>
        </w:rPr>
        <w:t xml:space="preserve">Groundwater Modelling </w:t>
      </w:r>
      <w:r>
        <w:rPr>
          <w:lang w:val="en-US"/>
        </w:rPr>
        <w:t>f</w:t>
      </w:r>
      <w:r w:rsidRPr="006F0DC9">
        <w:rPr>
          <w:lang w:val="en-US"/>
        </w:rPr>
        <w:t>or</w:t>
      </w:r>
      <w:r>
        <w:rPr>
          <w:lang w:val="en-US"/>
        </w:rPr>
        <w:t xml:space="preserve"> </w:t>
      </w:r>
      <w:r w:rsidRPr="006F0DC9">
        <w:rPr>
          <w:lang w:val="en-US"/>
        </w:rPr>
        <w:t xml:space="preserve">Greater Banjul Area –Model </w:t>
      </w:r>
      <w:r>
        <w:rPr>
          <w:lang w:val="en-US"/>
        </w:rPr>
        <w:t>s</w:t>
      </w:r>
      <w:r w:rsidRPr="006F0DC9">
        <w:rPr>
          <w:lang w:val="en-US"/>
        </w:rPr>
        <w:t xml:space="preserve">etup, </w:t>
      </w:r>
      <w:r>
        <w:rPr>
          <w:lang w:val="en-US"/>
        </w:rPr>
        <w:t>c</w:t>
      </w:r>
      <w:r w:rsidRPr="006F0DC9">
        <w:rPr>
          <w:lang w:val="en-US"/>
        </w:rPr>
        <w:t xml:space="preserve">alibration </w:t>
      </w:r>
      <w:r>
        <w:rPr>
          <w:lang w:val="en-US"/>
        </w:rPr>
        <w:t>a</w:t>
      </w:r>
      <w:r w:rsidRPr="006F0DC9">
        <w:rPr>
          <w:lang w:val="en-US"/>
        </w:rPr>
        <w:t xml:space="preserve">nd </w:t>
      </w:r>
      <w:r>
        <w:rPr>
          <w:lang w:val="en-US"/>
        </w:rPr>
        <w:t>r</w:t>
      </w:r>
      <w:r w:rsidRPr="006F0DC9">
        <w:rPr>
          <w:lang w:val="en-US"/>
        </w:rPr>
        <w:t>esults</w:t>
      </w:r>
      <w:r>
        <w:rPr>
          <w:lang w:val="en-US"/>
        </w:rPr>
        <w:t xml:space="preserve">. </w:t>
      </w:r>
      <w:r w:rsidRPr="00AD6EE1">
        <w:rPr>
          <w:lang w:val="en-US"/>
        </w:rPr>
        <w:t>Consultancy Services</w:t>
      </w:r>
      <w:r>
        <w:rPr>
          <w:lang w:val="en-US"/>
        </w:rPr>
        <w:t xml:space="preserve"> </w:t>
      </w:r>
      <w:r w:rsidRPr="00AD6EE1">
        <w:rPr>
          <w:lang w:val="en-US"/>
        </w:rPr>
        <w:t>for the</w:t>
      </w:r>
      <w:r>
        <w:rPr>
          <w:lang w:val="en-US"/>
        </w:rPr>
        <w:t xml:space="preserve"> </w:t>
      </w:r>
      <w:r w:rsidRPr="00AD6EE1">
        <w:rPr>
          <w:lang w:val="en-US"/>
        </w:rPr>
        <w:t>National Water Sector Reform Studies for</w:t>
      </w:r>
      <w:r>
        <w:rPr>
          <w:lang w:val="en-US"/>
        </w:rPr>
        <w:t xml:space="preserve"> </w:t>
      </w:r>
      <w:r w:rsidRPr="00AD6EE1">
        <w:rPr>
          <w:lang w:val="en-US"/>
        </w:rPr>
        <w:t>The Gambia</w:t>
      </w:r>
      <w:r>
        <w:rPr>
          <w:lang w:val="en-US"/>
        </w:rPr>
        <w:t>. 47p</w:t>
      </w:r>
    </w:p>
    <w:p w14:paraId="55187BC7" w14:textId="77777777" w:rsidR="002A6BA9" w:rsidRPr="002A76BD" w:rsidRDefault="002A6BA9" w:rsidP="002A6BA9">
      <w:pPr>
        <w:rPr>
          <w:lang w:val="fr-SN"/>
        </w:rPr>
      </w:pPr>
      <w:r w:rsidRPr="003219D1">
        <w:rPr>
          <w:lang w:val="en-US"/>
        </w:rPr>
        <w:t xml:space="preserve">NIRAS (2015) - </w:t>
      </w:r>
      <w:r>
        <w:rPr>
          <w:lang w:val="en-US"/>
        </w:rPr>
        <w:t>N</w:t>
      </w:r>
      <w:r w:rsidRPr="00AD6EE1">
        <w:rPr>
          <w:lang w:val="en-US"/>
        </w:rPr>
        <w:t xml:space="preserve">ational </w:t>
      </w:r>
      <w:r>
        <w:rPr>
          <w:lang w:val="en-US"/>
        </w:rPr>
        <w:t>W</w:t>
      </w:r>
      <w:r w:rsidRPr="00AD6EE1">
        <w:rPr>
          <w:lang w:val="en-US"/>
        </w:rPr>
        <w:t xml:space="preserve">ater </w:t>
      </w:r>
      <w:r>
        <w:rPr>
          <w:lang w:val="en-US"/>
        </w:rPr>
        <w:t>R</w:t>
      </w:r>
      <w:r w:rsidRPr="00AD6EE1">
        <w:rPr>
          <w:lang w:val="en-US"/>
        </w:rPr>
        <w:t>esources</w:t>
      </w:r>
      <w:r w:rsidRPr="003219D1">
        <w:rPr>
          <w:lang w:val="en-US"/>
        </w:rPr>
        <w:t xml:space="preserve"> </w:t>
      </w:r>
      <w:r>
        <w:rPr>
          <w:lang w:val="en-US"/>
        </w:rPr>
        <w:t>A</w:t>
      </w:r>
      <w:r w:rsidRPr="00AD6EE1">
        <w:rPr>
          <w:lang w:val="en-US"/>
        </w:rPr>
        <w:t>ssessment and</w:t>
      </w:r>
      <w:r>
        <w:rPr>
          <w:lang w:val="en-US"/>
        </w:rPr>
        <w:t xml:space="preserve"> M</w:t>
      </w:r>
      <w:r w:rsidRPr="00AD6EE1">
        <w:rPr>
          <w:lang w:val="en-US"/>
        </w:rPr>
        <w:t xml:space="preserve">anagement </w:t>
      </w:r>
      <w:r>
        <w:rPr>
          <w:lang w:val="en-US"/>
        </w:rPr>
        <w:t>S</w:t>
      </w:r>
      <w:r w:rsidRPr="00AD6EE1">
        <w:rPr>
          <w:lang w:val="en-US"/>
        </w:rPr>
        <w:t>trategy</w:t>
      </w:r>
      <w:r>
        <w:rPr>
          <w:lang w:val="en-US"/>
        </w:rPr>
        <w:t xml:space="preserve">. </w:t>
      </w:r>
      <w:r w:rsidRPr="00AD6EE1">
        <w:rPr>
          <w:lang w:val="en-US"/>
        </w:rPr>
        <w:t>Consultancy Services</w:t>
      </w:r>
      <w:r>
        <w:rPr>
          <w:lang w:val="en-US"/>
        </w:rPr>
        <w:t xml:space="preserve"> </w:t>
      </w:r>
      <w:r w:rsidRPr="00AD6EE1">
        <w:rPr>
          <w:lang w:val="en-US"/>
        </w:rPr>
        <w:t>for the</w:t>
      </w:r>
      <w:r>
        <w:rPr>
          <w:lang w:val="en-US"/>
        </w:rPr>
        <w:t xml:space="preserve"> </w:t>
      </w:r>
      <w:r w:rsidRPr="00AD6EE1">
        <w:rPr>
          <w:lang w:val="en-US"/>
        </w:rPr>
        <w:t>National Water Sector Reform Studies for</w:t>
      </w:r>
      <w:r>
        <w:rPr>
          <w:lang w:val="en-US"/>
        </w:rPr>
        <w:t xml:space="preserve"> </w:t>
      </w:r>
      <w:r w:rsidRPr="00AD6EE1">
        <w:rPr>
          <w:lang w:val="en-US"/>
        </w:rPr>
        <w:t>The Gambia</w:t>
      </w:r>
      <w:r>
        <w:rPr>
          <w:lang w:val="en-US"/>
        </w:rPr>
        <w:t xml:space="preserve">. </w:t>
      </w:r>
      <w:r w:rsidRPr="002A76BD">
        <w:rPr>
          <w:lang w:val="fr-SN"/>
        </w:rPr>
        <w:t>130p.</w:t>
      </w:r>
    </w:p>
    <w:p w14:paraId="7B01AC67" w14:textId="77777777" w:rsidR="002A6BA9" w:rsidRPr="003219D1" w:rsidRDefault="002A6BA9" w:rsidP="002A6BA9">
      <w:r w:rsidRPr="003219D1">
        <w:rPr>
          <w:lang w:val="fr-SN"/>
        </w:rPr>
        <w:t xml:space="preserve">PEAMU (2017-2018) - </w:t>
      </w:r>
      <w:r w:rsidRPr="00C868C1">
        <w:rPr>
          <w:lang w:val="fr-SN"/>
        </w:rPr>
        <w:t xml:space="preserve">Etude Hydrogéologique Complémentaire </w:t>
      </w:r>
      <w:r>
        <w:rPr>
          <w:lang w:val="fr-SN"/>
        </w:rPr>
        <w:t>d</w:t>
      </w:r>
      <w:r w:rsidRPr="00C868C1">
        <w:rPr>
          <w:lang w:val="fr-SN"/>
        </w:rPr>
        <w:t xml:space="preserve">u Système </w:t>
      </w:r>
      <w:r>
        <w:rPr>
          <w:lang w:val="fr-SN"/>
        </w:rPr>
        <w:t>d</w:t>
      </w:r>
      <w:r w:rsidRPr="00C868C1">
        <w:rPr>
          <w:lang w:val="fr-SN"/>
        </w:rPr>
        <w:t xml:space="preserve">u Horst </w:t>
      </w:r>
      <w:r>
        <w:rPr>
          <w:lang w:val="fr-SN"/>
        </w:rPr>
        <w:t>d</w:t>
      </w:r>
      <w:r w:rsidRPr="00C868C1">
        <w:rPr>
          <w:lang w:val="fr-SN"/>
        </w:rPr>
        <w:t>e Diass</w:t>
      </w:r>
      <w:r>
        <w:rPr>
          <w:lang w:val="fr-SN"/>
        </w:rPr>
        <w:t xml:space="preserve">. </w:t>
      </w:r>
      <w:r w:rsidRPr="00C868C1">
        <w:rPr>
          <w:lang w:val="fr-SN"/>
        </w:rPr>
        <w:t xml:space="preserve">Programme Eau Potable </w:t>
      </w:r>
      <w:r>
        <w:rPr>
          <w:lang w:val="fr-SN"/>
        </w:rPr>
        <w:t>e</w:t>
      </w:r>
      <w:r w:rsidRPr="00C868C1">
        <w:rPr>
          <w:lang w:val="fr-SN"/>
        </w:rPr>
        <w:t>t Assainissement</w:t>
      </w:r>
      <w:r>
        <w:rPr>
          <w:lang w:val="fr-SN"/>
        </w:rPr>
        <w:t xml:space="preserve"> d</w:t>
      </w:r>
      <w:r w:rsidRPr="00C868C1">
        <w:rPr>
          <w:lang w:val="fr-SN"/>
        </w:rPr>
        <w:t>u Millénaire (PEPAM)</w:t>
      </w:r>
      <w:r>
        <w:rPr>
          <w:lang w:val="fr-SN"/>
        </w:rPr>
        <w:t xml:space="preserve"> / </w:t>
      </w:r>
      <w:r w:rsidRPr="00C868C1">
        <w:rPr>
          <w:lang w:val="fr-SN"/>
        </w:rPr>
        <w:t xml:space="preserve">Projet Eau </w:t>
      </w:r>
      <w:r>
        <w:rPr>
          <w:lang w:val="fr-SN"/>
        </w:rPr>
        <w:t>e</w:t>
      </w:r>
      <w:r w:rsidRPr="00C868C1">
        <w:rPr>
          <w:lang w:val="fr-SN"/>
        </w:rPr>
        <w:t xml:space="preserve">t Assainissement </w:t>
      </w:r>
      <w:r>
        <w:rPr>
          <w:lang w:val="fr-SN"/>
        </w:rPr>
        <w:t>e</w:t>
      </w:r>
      <w:r w:rsidRPr="00C868C1">
        <w:rPr>
          <w:lang w:val="fr-SN"/>
        </w:rPr>
        <w:t>n Milieu Urbain (PEAMU)</w:t>
      </w:r>
    </w:p>
    <w:p w14:paraId="50D4A95E" w14:textId="77777777" w:rsidR="002A6BA9" w:rsidRPr="003219D1" w:rsidRDefault="002A6BA9" w:rsidP="002A6BA9">
      <w:r w:rsidRPr="003219D1">
        <w:rPr>
          <w:lang w:val="fr-SN"/>
        </w:rPr>
        <w:t>PEPAM-AQUA (2013) - Etude comparative des solutions pour l’amélioration de la qualité de l’eau</w:t>
      </w:r>
      <w:r>
        <w:rPr>
          <w:lang w:val="fr-SN"/>
        </w:rPr>
        <w:t xml:space="preserve">. </w:t>
      </w:r>
      <w:r w:rsidRPr="008D00F3">
        <w:rPr>
          <w:lang w:val="fr-SN"/>
        </w:rPr>
        <w:t>DRP N° :13006/2013/DP/PEPAM-AQUA</w:t>
      </w:r>
      <w:r>
        <w:rPr>
          <w:lang w:val="fr-SN"/>
        </w:rPr>
        <w:t>. Rapport final par B. Dieng, 77p.</w:t>
      </w:r>
    </w:p>
    <w:p w14:paraId="041349FD" w14:textId="77777777" w:rsidR="002A6BA9" w:rsidRDefault="002A6BA9" w:rsidP="002A6BA9">
      <w:pPr>
        <w:rPr>
          <w:lang w:val="fr-SN"/>
        </w:rPr>
      </w:pPr>
      <w:r w:rsidRPr="00C868C1">
        <w:rPr>
          <w:lang w:val="fr-SN"/>
        </w:rPr>
        <w:t>PEPAM/PSEA (2016-2017)</w:t>
      </w:r>
      <w:r>
        <w:rPr>
          <w:lang w:val="fr-SN"/>
        </w:rPr>
        <w:t xml:space="preserve"> - </w:t>
      </w:r>
      <w:r w:rsidRPr="00C868C1">
        <w:rPr>
          <w:lang w:val="fr-SN"/>
        </w:rPr>
        <w:t>Etudes hydrogéologiques et hydrologiques complémentaires de la nappe du Continental Terminal de la zone Sine-Gambie</w:t>
      </w:r>
      <w:r>
        <w:rPr>
          <w:lang w:val="fr-SN"/>
        </w:rPr>
        <w:t xml:space="preserve">. </w:t>
      </w:r>
      <w:r w:rsidRPr="00C868C1">
        <w:rPr>
          <w:lang w:val="fr-SN"/>
        </w:rPr>
        <w:t xml:space="preserve">Programme Eau Potable </w:t>
      </w:r>
      <w:r>
        <w:rPr>
          <w:lang w:val="fr-SN"/>
        </w:rPr>
        <w:t>e</w:t>
      </w:r>
      <w:r w:rsidRPr="00C868C1">
        <w:rPr>
          <w:lang w:val="fr-SN"/>
        </w:rPr>
        <w:t>t Assainissement</w:t>
      </w:r>
      <w:r>
        <w:rPr>
          <w:lang w:val="fr-SN"/>
        </w:rPr>
        <w:t xml:space="preserve"> d</w:t>
      </w:r>
      <w:r w:rsidRPr="00C868C1">
        <w:rPr>
          <w:lang w:val="fr-SN"/>
        </w:rPr>
        <w:t>u Millénaire (PEPAM)</w:t>
      </w:r>
      <w:r>
        <w:rPr>
          <w:lang w:val="fr-SN"/>
        </w:rPr>
        <w:t xml:space="preserve"> / </w:t>
      </w:r>
      <w:r w:rsidRPr="00C868C1">
        <w:rPr>
          <w:lang w:val="fr-SN"/>
        </w:rPr>
        <w:t xml:space="preserve">Projet Sectoriel Eau </w:t>
      </w:r>
      <w:r>
        <w:rPr>
          <w:lang w:val="fr-SN"/>
        </w:rPr>
        <w:t>e</w:t>
      </w:r>
      <w:r w:rsidRPr="00C868C1">
        <w:rPr>
          <w:lang w:val="fr-SN"/>
        </w:rPr>
        <w:t>t Assainissement (PSEA)</w:t>
      </w:r>
      <w:r>
        <w:rPr>
          <w:lang w:val="fr-SN"/>
        </w:rPr>
        <w:t>. Rapport par le Groupement SETICO/GENHY/ANTEA</w:t>
      </w:r>
    </w:p>
    <w:p w14:paraId="671DDE67" w14:textId="77777777" w:rsidR="002A6BA9" w:rsidRPr="003219D1" w:rsidRDefault="002A6BA9" w:rsidP="002A6BA9">
      <w:pPr>
        <w:rPr>
          <w:lang w:val="fr-SN"/>
        </w:rPr>
      </w:pPr>
      <w:r w:rsidRPr="00265EB7">
        <w:rPr>
          <w:lang w:val="fr-FR"/>
        </w:rPr>
        <w:t xml:space="preserve">RAF/7/011 </w:t>
      </w:r>
      <w:r>
        <w:rPr>
          <w:lang w:val="fr-FR"/>
        </w:rPr>
        <w:t>(</w:t>
      </w:r>
      <w:r w:rsidRPr="00265EB7">
        <w:rPr>
          <w:lang w:val="fr-FR"/>
        </w:rPr>
        <w:t>2017</w:t>
      </w:r>
      <w:r>
        <w:rPr>
          <w:lang w:val="fr-FR"/>
        </w:rPr>
        <w:t xml:space="preserve">) - </w:t>
      </w:r>
      <w:r w:rsidRPr="003C0E63">
        <w:rPr>
          <w:lang w:val="fr-FR"/>
        </w:rPr>
        <w:t>Gestion intégrée et durable des systèmes aquifères et des bassins partagés</w:t>
      </w:r>
      <w:r>
        <w:rPr>
          <w:lang w:val="fr-FR"/>
        </w:rPr>
        <w:t xml:space="preserve"> </w:t>
      </w:r>
      <w:r w:rsidRPr="003C0E63">
        <w:rPr>
          <w:lang w:val="fr-FR"/>
        </w:rPr>
        <w:t>de la région du Sahel</w:t>
      </w:r>
      <w:r>
        <w:rPr>
          <w:lang w:val="fr-FR"/>
        </w:rPr>
        <w:t xml:space="preserve">. </w:t>
      </w:r>
      <w:r w:rsidRPr="003C0E63">
        <w:rPr>
          <w:lang w:val="fr-FR"/>
        </w:rPr>
        <w:t>Bassin Sénégalo-Mauritanien</w:t>
      </w:r>
      <w:r>
        <w:rPr>
          <w:lang w:val="fr-FR"/>
        </w:rPr>
        <w:t xml:space="preserve">. </w:t>
      </w:r>
      <w:r w:rsidRPr="003C0E63">
        <w:rPr>
          <w:lang w:val="fr-FR"/>
        </w:rPr>
        <w:t>Rapport du projet régional de coopération technique appuyé par l’AIEA</w:t>
      </w:r>
      <w:r>
        <w:rPr>
          <w:lang w:val="fr-FR"/>
        </w:rPr>
        <w:t xml:space="preserve">, par </w:t>
      </w:r>
      <w:r w:rsidRPr="003C0E63">
        <w:rPr>
          <w:lang w:val="fr-FR"/>
        </w:rPr>
        <w:t>M. Yves TRAVI</w:t>
      </w:r>
      <w:r>
        <w:rPr>
          <w:lang w:val="fr-FR"/>
        </w:rPr>
        <w:t xml:space="preserve"> et Contreparties. 53p.</w:t>
      </w:r>
    </w:p>
    <w:p w14:paraId="4E4CF479" w14:textId="56D7AE41" w:rsidR="002A6BA9" w:rsidRPr="002A76BD" w:rsidRDefault="002A6BA9" w:rsidP="002A6BA9">
      <w:pPr>
        <w:rPr>
          <w:lang w:val="en-US"/>
        </w:rPr>
      </w:pPr>
      <w:r w:rsidRPr="00265EB7">
        <w:rPr>
          <w:lang w:val="fr-FR"/>
        </w:rPr>
        <w:t>OMV</w:t>
      </w:r>
      <w:r>
        <w:rPr>
          <w:lang w:val="fr-FR"/>
        </w:rPr>
        <w:t>S</w:t>
      </w:r>
      <w:r w:rsidRPr="00265EB7">
        <w:rPr>
          <w:lang w:val="fr-FR"/>
        </w:rPr>
        <w:t xml:space="preserve"> </w:t>
      </w:r>
      <w:r>
        <w:rPr>
          <w:lang w:val="fr-FR"/>
        </w:rPr>
        <w:t>(</w:t>
      </w:r>
      <w:r w:rsidRPr="00265EB7">
        <w:rPr>
          <w:lang w:val="fr-FR"/>
        </w:rPr>
        <w:t>2008</w:t>
      </w:r>
      <w:r>
        <w:rPr>
          <w:lang w:val="fr-FR"/>
        </w:rPr>
        <w:t>) - E</w:t>
      </w:r>
      <w:r w:rsidRPr="00F22420">
        <w:rPr>
          <w:lang w:val="fr-FR"/>
        </w:rPr>
        <w:t>tude diagnostique pour la mise en place et la réhabilitation du réseau piézométrique dans le bassin du fleuve Sénégal</w:t>
      </w:r>
      <w:r>
        <w:rPr>
          <w:lang w:val="fr-FR"/>
        </w:rPr>
        <w:t xml:space="preserve">. </w:t>
      </w:r>
      <w:r w:rsidRPr="002A76BD">
        <w:rPr>
          <w:lang w:val="en-US"/>
        </w:rPr>
        <w:t xml:space="preserve">Rapport Final de l’expert C.H. Kane. </w:t>
      </w:r>
    </w:p>
    <w:p w14:paraId="66971743" w14:textId="77777777" w:rsidR="002A6BA9" w:rsidRPr="003219D1" w:rsidRDefault="002A6BA9" w:rsidP="002A6BA9">
      <w:pPr>
        <w:rPr>
          <w:lang w:val="en-US"/>
        </w:rPr>
      </w:pPr>
      <w:r w:rsidRPr="003219D1">
        <w:rPr>
          <w:lang w:val="en-US"/>
        </w:rPr>
        <w:t>UN</w:t>
      </w:r>
      <w:r>
        <w:rPr>
          <w:lang w:val="en-US"/>
        </w:rPr>
        <w:t xml:space="preserve"> (2018) - </w:t>
      </w:r>
      <w:r w:rsidRPr="003219D1">
        <w:rPr>
          <w:lang w:val="en-US"/>
        </w:rPr>
        <w:t>Department of Economic and Social Affairs, Population Division (2018). World Urbanization Prospects: The 2018 Revision, Online Edition.</w:t>
      </w:r>
    </w:p>
    <w:p w14:paraId="1A6E12A9" w14:textId="77777777" w:rsidR="002A6BA9" w:rsidRPr="003219D1" w:rsidRDefault="002A6BA9" w:rsidP="002A6BA9">
      <w:pPr>
        <w:rPr>
          <w:lang w:val="en-US"/>
        </w:rPr>
      </w:pPr>
      <w:r w:rsidRPr="003219D1">
        <w:rPr>
          <w:lang w:val="en-US"/>
        </w:rPr>
        <w:t>UNECA (2000)</w:t>
      </w:r>
      <w:r>
        <w:rPr>
          <w:lang w:val="en-US"/>
        </w:rPr>
        <w:t xml:space="preserve"> - </w:t>
      </w:r>
      <w:r w:rsidRPr="00632000">
        <w:rPr>
          <w:lang w:val="en-US"/>
        </w:rPr>
        <w:t>United Nations Economic Commission for Africa (UNECA), African</w:t>
      </w:r>
      <w:r>
        <w:rPr>
          <w:lang w:val="en-US"/>
        </w:rPr>
        <w:t xml:space="preserve"> </w:t>
      </w:r>
      <w:r w:rsidRPr="00632000">
        <w:rPr>
          <w:lang w:val="en-US"/>
        </w:rPr>
        <w:t>Union (AU), and African Development Bank (AfDB)</w:t>
      </w:r>
      <w:r>
        <w:rPr>
          <w:lang w:val="en-US"/>
        </w:rPr>
        <w:t xml:space="preserve">. </w:t>
      </w:r>
      <w:r w:rsidRPr="00632000">
        <w:rPr>
          <w:lang w:val="en-US"/>
        </w:rPr>
        <w:t>The</w:t>
      </w:r>
      <w:r>
        <w:rPr>
          <w:lang w:val="en-US"/>
        </w:rPr>
        <w:t xml:space="preserve"> </w:t>
      </w:r>
      <w:r w:rsidRPr="00632000">
        <w:rPr>
          <w:lang w:val="en-US"/>
        </w:rPr>
        <w:t>Africa water vision for 2025: equitable and sustainable use of water</w:t>
      </w:r>
      <w:r>
        <w:rPr>
          <w:lang w:val="en-US"/>
        </w:rPr>
        <w:t xml:space="preserve"> </w:t>
      </w:r>
      <w:r w:rsidRPr="00632000">
        <w:rPr>
          <w:lang w:val="en-US"/>
        </w:rPr>
        <w:t>for socioeconomic development, 28 pp</w:t>
      </w:r>
    </w:p>
    <w:p w14:paraId="10E8B20C" w14:textId="77777777" w:rsidR="002A6BA9" w:rsidRPr="003219D1" w:rsidRDefault="002A6BA9" w:rsidP="002A6BA9">
      <w:pPr>
        <w:rPr>
          <w:lang w:val="en-US"/>
        </w:rPr>
      </w:pPr>
      <w:r w:rsidRPr="00C54514">
        <w:rPr>
          <w:lang w:val="en-US"/>
        </w:rPr>
        <w:t xml:space="preserve">World Bank (2020) </w:t>
      </w:r>
      <w:r>
        <w:rPr>
          <w:lang w:val="en-US"/>
        </w:rPr>
        <w:t xml:space="preserve">- </w:t>
      </w:r>
      <w:r w:rsidRPr="00C54514">
        <w:rPr>
          <w:lang w:val="en-US"/>
        </w:rPr>
        <w:t>World Development Indicators. https://databank.worldbank.org/</w:t>
      </w:r>
    </w:p>
    <w:p w14:paraId="00A21815" w14:textId="77777777" w:rsidR="002A6BA9" w:rsidRPr="007066A1" w:rsidRDefault="002A6BA9" w:rsidP="001D5373">
      <w:pPr>
        <w:rPr>
          <w:lang w:val="en-GB"/>
        </w:rPr>
      </w:pPr>
    </w:p>
    <w:sectPr w:rsidR="002A6BA9" w:rsidRPr="007066A1" w:rsidSect="00831F13">
      <w:headerReference w:type="default" r:id="rId21"/>
      <w:footerReference w:type="default" r:id="rId22"/>
      <w:type w:val="continuous"/>
      <w:pgSz w:w="11900" w:h="16840"/>
      <w:pgMar w:top="1417" w:right="843" w:bottom="1417" w:left="1417" w:header="708" w:footer="16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0B357" w14:textId="77777777" w:rsidR="00F02363" w:rsidRDefault="00F02363" w:rsidP="00DC5A9D">
      <w:r>
        <w:separator/>
      </w:r>
    </w:p>
  </w:endnote>
  <w:endnote w:type="continuationSeparator" w:id="0">
    <w:p w14:paraId="15912B5C" w14:textId="77777777" w:rsidR="00F02363" w:rsidRDefault="00F02363" w:rsidP="00DC5A9D">
      <w:r>
        <w:continuationSeparator/>
      </w:r>
    </w:p>
  </w:endnote>
  <w:endnote w:type="continuationNotice" w:id="1">
    <w:p w14:paraId="0896F13B" w14:textId="77777777" w:rsidR="00BF79CE" w:rsidRDefault="00BF79C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tional Regular">
    <w:panose1 w:val="02000503000000020004"/>
    <w:charset w:val="00"/>
    <w:family w:val="modern"/>
    <w:notTrueType/>
    <w:pitch w:val="variable"/>
    <w:sig w:usb0="A00000FF" w:usb1="5000207B" w:usb2="0000001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Lucida Grande">
    <w:altName w:val="Segoe UI"/>
    <w:charset w:val="00"/>
    <w:family w:val="auto"/>
    <w:pitch w:val="variable"/>
  </w:font>
  <w:font w:name="DengXian">
    <w:altName w:val="等线"/>
    <w:panose1 w:val="02010600030101010101"/>
    <w:charset w:val="86"/>
    <w:family w:val="auto"/>
    <w:pitch w:val="variable"/>
    <w:sig w:usb0="A00002BF" w:usb1="38CF7CFA" w:usb2="00000016" w:usb3="00000000" w:csb0="0004000F" w:csb1="00000000"/>
  </w:font>
  <w:font w:name="TheSans-Caps">
    <w:altName w:val="Times New Roman"/>
    <w:panose1 w:val="00000000000000000000"/>
    <w:charset w:val="00"/>
    <w:family w:val="swiss"/>
    <w:notTrueType/>
    <w:pitch w:val="variable"/>
    <w:sig w:usb0="00000003" w:usb1="00000000" w:usb2="00000000" w:usb3="00000000" w:csb0="00000001" w:csb1="00000000"/>
  </w:font>
  <w:font w:name="National Light">
    <w:panose1 w:val="00000000000000000000"/>
    <w:charset w:val="00"/>
    <w:family w:val="modern"/>
    <w:notTrueType/>
    <w:pitch w:val="variable"/>
    <w:sig w:usb0="A10000FF" w:usb1="5001207B" w:usb2="0000001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2378" w14:textId="6E98856D" w:rsidR="00AC1C67" w:rsidRPr="00627320" w:rsidRDefault="00AC1C67" w:rsidP="00627320">
    <w:pPr>
      <w:pStyle w:val="Footer"/>
      <w:ind w:left="0"/>
      <w:jc w:val="left"/>
      <w:rPr>
        <w:rFonts w:asciiTheme="majorHAnsi" w:hAnsiTheme="majorHAnsi" w:cstheme="maj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Ind w:w="-582" w:type="dxa"/>
      <w:tblBorders>
        <w:top w:val="single" w:sz="12" w:space="0" w:color="8496B0" w:themeColor="text2"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5386"/>
      <w:gridCol w:w="2253"/>
    </w:tblGrid>
    <w:tr w:rsidR="00AC1C67" w:rsidRPr="002B4DDF" w14:paraId="63D9D784" w14:textId="77777777" w:rsidTr="001E364E">
      <w:tc>
        <w:tcPr>
          <w:tcW w:w="2567" w:type="dxa"/>
          <w:vAlign w:val="center"/>
        </w:tcPr>
        <w:p w14:paraId="55CFE5FD" w14:textId="77777777" w:rsidR="00AC1C67" w:rsidRPr="00B54238" w:rsidRDefault="00AC1C67" w:rsidP="001E364E">
          <w:pPr>
            <w:pStyle w:val="PiedPage"/>
            <w:spacing w:before="0" w:after="0"/>
            <w:rPr>
              <w:sz w:val="24"/>
              <w:szCs w:val="24"/>
            </w:rPr>
          </w:pPr>
          <w:r>
            <w:rPr>
              <w:noProof/>
              <w:lang w:eastAsia="fr-CH"/>
            </w:rPr>
            <w:drawing>
              <wp:inline distT="0" distB="0" distL="0" distR="0" wp14:anchorId="54EB0D96" wp14:editId="23E826E0">
                <wp:extent cx="653143" cy="6727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MVG.jfif"/>
                        <pic:cNvPicPr/>
                      </pic:nvPicPr>
                      <pic:blipFill>
                        <a:blip r:embed="rId1">
                          <a:extLst>
                            <a:ext uri="{28A0092B-C50C-407E-A947-70E740481C1C}">
                              <a14:useLocalDpi xmlns:a14="http://schemas.microsoft.com/office/drawing/2010/main" val="0"/>
                            </a:ext>
                          </a:extLst>
                        </a:blip>
                        <a:stretch>
                          <a:fillRect/>
                        </a:stretch>
                      </pic:blipFill>
                      <pic:spPr>
                        <a:xfrm>
                          <a:off x="0" y="0"/>
                          <a:ext cx="655848" cy="675524"/>
                        </a:xfrm>
                        <a:prstGeom prst="rect">
                          <a:avLst/>
                        </a:prstGeom>
                      </pic:spPr>
                    </pic:pic>
                  </a:graphicData>
                </a:graphic>
              </wp:inline>
            </w:drawing>
          </w:r>
        </w:p>
      </w:tc>
      <w:tc>
        <w:tcPr>
          <w:tcW w:w="5386" w:type="dxa"/>
        </w:tcPr>
        <w:p w14:paraId="23B6F8F2" w14:textId="77777777" w:rsidR="00AC1C67" w:rsidRDefault="00AC1C67" w:rsidP="00382983">
          <w:pPr>
            <w:pStyle w:val="Footer"/>
            <w:jc w:val="center"/>
          </w:pPr>
        </w:p>
        <w:sdt>
          <w:sdtPr>
            <w:id w:val="2102053810"/>
            <w:docPartObj>
              <w:docPartGallery w:val="Page Numbers (Bottom of Page)"/>
              <w:docPartUnique/>
            </w:docPartObj>
          </w:sdtPr>
          <w:sdtEndPr>
            <w:rPr>
              <w:noProof/>
              <w:sz w:val="20"/>
              <w:szCs w:val="20"/>
            </w:rPr>
          </w:sdtEndPr>
          <w:sdtContent>
            <w:p w14:paraId="3D79342E" w14:textId="59EB4BAF" w:rsidR="00AC1C67" w:rsidRDefault="00AC1C67" w:rsidP="00382983">
              <w:pPr>
                <w:pStyle w:val="Footer"/>
                <w:jc w:val="center"/>
                <w:rPr>
                  <w:noProof/>
                </w:rPr>
              </w:pPr>
              <w:r>
                <w:fldChar w:fldCharType="begin"/>
              </w:r>
              <w:r>
                <w:instrText xml:space="preserve"> PAGE   \* MERGEFORMAT </w:instrText>
              </w:r>
              <w:r>
                <w:fldChar w:fldCharType="separate"/>
              </w:r>
              <w:r w:rsidR="00EF7B10">
                <w:rPr>
                  <w:noProof/>
                </w:rPr>
                <w:t>4</w:t>
              </w:r>
              <w:r>
                <w:rPr>
                  <w:noProof/>
                </w:rPr>
                <w:fldChar w:fldCharType="end"/>
              </w:r>
            </w:p>
            <w:p w14:paraId="6DD3A180" w14:textId="1DD282BA" w:rsidR="00AC1C67" w:rsidRDefault="00AC1C67" w:rsidP="00DE57B3">
              <w:pPr>
                <w:pStyle w:val="Footer"/>
                <w:tabs>
                  <w:tab w:val="left" w:pos="692"/>
                </w:tabs>
                <w:jc w:val="center"/>
                <w:rPr>
                  <w:noProof/>
                </w:rPr>
              </w:pPr>
            </w:p>
            <w:p w14:paraId="6AE78EB4" w14:textId="40724CB0" w:rsidR="00AC1C67" w:rsidRPr="000F3F48" w:rsidRDefault="00AC1C67" w:rsidP="00DE57B3">
              <w:pPr>
                <w:pStyle w:val="Footer"/>
                <w:ind w:left="0"/>
                <w:jc w:val="center"/>
                <w:rPr>
                  <w:sz w:val="20"/>
                  <w:szCs w:val="20"/>
                </w:rPr>
              </w:pPr>
              <w:r>
                <w:rPr>
                  <w:noProof/>
                  <w:sz w:val="20"/>
                  <w:szCs w:val="20"/>
                </w:rPr>
                <w:t>Version of</w:t>
              </w:r>
              <w:r w:rsidRPr="000F3F48">
                <w:rPr>
                  <w:noProof/>
                  <w:sz w:val="20"/>
                  <w:szCs w:val="20"/>
                </w:rPr>
                <w:t xml:space="preserve"> </w:t>
              </w:r>
              <w:r w:rsidR="00EF7B10">
                <w:rPr>
                  <w:noProof/>
                  <w:sz w:val="20"/>
                  <w:szCs w:val="20"/>
                </w:rPr>
                <w:t>27 November</w:t>
              </w:r>
              <w:r w:rsidRPr="000F3F48">
                <w:rPr>
                  <w:noProof/>
                  <w:sz w:val="20"/>
                  <w:szCs w:val="20"/>
                </w:rPr>
                <w:t xml:space="preserve"> 2020</w:t>
              </w:r>
            </w:p>
          </w:sdtContent>
        </w:sdt>
        <w:p w14:paraId="505A7C1C" w14:textId="77777777" w:rsidR="00AC1C67" w:rsidRPr="00B54238" w:rsidRDefault="00AC1C67" w:rsidP="00382983">
          <w:pPr>
            <w:pStyle w:val="PiedPage"/>
            <w:spacing w:before="0" w:after="0"/>
            <w:jc w:val="both"/>
            <w:rPr>
              <w:sz w:val="24"/>
              <w:szCs w:val="24"/>
            </w:rPr>
          </w:pPr>
        </w:p>
      </w:tc>
      <w:tc>
        <w:tcPr>
          <w:tcW w:w="2253" w:type="dxa"/>
          <w:vAlign w:val="center"/>
        </w:tcPr>
        <w:p w14:paraId="09245EE6" w14:textId="3EA615BC" w:rsidR="00AC1C67" w:rsidRPr="00DE57B3" w:rsidRDefault="00AC1C67" w:rsidP="00DE57B3">
          <w:pPr>
            <w:pStyle w:val="PiedPage"/>
            <w:spacing w:before="0" w:after="0"/>
          </w:pPr>
          <w:r>
            <w:rPr>
              <w:noProof/>
              <w:lang w:eastAsia="fr-CH"/>
            </w:rPr>
            <w:drawing>
              <wp:inline distT="0" distB="0" distL="0" distR="0" wp14:anchorId="049C9442" wp14:editId="05F05BFB">
                <wp:extent cx="468000" cy="7452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MVS.jfif"/>
                        <pic:cNvPicPr/>
                      </pic:nvPicPr>
                      <pic:blipFill>
                        <a:blip r:embed="rId2">
                          <a:extLst>
                            <a:ext uri="{28A0092B-C50C-407E-A947-70E740481C1C}">
                              <a14:useLocalDpi xmlns:a14="http://schemas.microsoft.com/office/drawing/2010/main" val="0"/>
                            </a:ext>
                          </a:extLst>
                        </a:blip>
                        <a:stretch>
                          <a:fillRect/>
                        </a:stretch>
                      </pic:blipFill>
                      <pic:spPr>
                        <a:xfrm>
                          <a:off x="0" y="0"/>
                          <a:ext cx="468000" cy="745200"/>
                        </a:xfrm>
                        <a:prstGeom prst="rect">
                          <a:avLst/>
                        </a:prstGeom>
                      </pic:spPr>
                    </pic:pic>
                  </a:graphicData>
                </a:graphic>
              </wp:inline>
            </w:drawing>
          </w:r>
        </w:p>
      </w:tc>
    </w:tr>
  </w:tbl>
  <w:p w14:paraId="5CF27710" w14:textId="4795B865" w:rsidR="00AC1C67" w:rsidRPr="00627320" w:rsidRDefault="00AC1C67" w:rsidP="00627320">
    <w:pPr>
      <w:pStyle w:val="Footer"/>
      <w:ind w:left="0"/>
      <w:jc w:val="left"/>
      <w:rPr>
        <w:rFonts w:asciiTheme="majorHAnsi" w:hAnsiTheme="majorHAnsi" w:cstheme="maj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AA2B4" w14:textId="77777777" w:rsidR="00F02363" w:rsidRDefault="00F02363" w:rsidP="00DC5A9D">
      <w:r>
        <w:separator/>
      </w:r>
    </w:p>
  </w:footnote>
  <w:footnote w:type="continuationSeparator" w:id="0">
    <w:p w14:paraId="1A431971" w14:textId="77777777" w:rsidR="00F02363" w:rsidRDefault="00F02363" w:rsidP="00DC5A9D">
      <w:r>
        <w:continuationSeparator/>
      </w:r>
    </w:p>
  </w:footnote>
  <w:footnote w:type="continuationNotice" w:id="1">
    <w:p w14:paraId="0B2486F6" w14:textId="77777777" w:rsidR="00BF79CE" w:rsidRDefault="00BF79C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6CC0" w14:textId="31AB3DA9" w:rsidR="00AC1C67" w:rsidRPr="00052847" w:rsidRDefault="00AC1C67" w:rsidP="00052847">
    <w:pPr>
      <w:rPr>
        <w:sz w:val="2"/>
        <w:szCs w:val="2"/>
      </w:rPr>
    </w:pPr>
  </w:p>
  <w:p w14:paraId="5411F05F" w14:textId="77777777" w:rsidR="00AC1C67" w:rsidRPr="00052847" w:rsidRDefault="00AC1C67" w:rsidP="00382983">
    <w:pPr>
      <w:tabs>
        <w:tab w:val="left" w:pos="990"/>
      </w:tabs>
      <w:rPr>
        <w:sz w:val="2"/>
        <w:szCs w:val="2"/>
      </w:rPr>
    </w:pPr>
    <w:r>
      <w:rPr>
        <w:sz w:val="2"/>
        <w:szCs w:val="2"/>
      </w:rPr>
      <w:tab/>
    </w:r>
  </w:p>
  <w:tbl>
    <w:tblPr>
      <w:tblStyle w:val="TableGrid"/>
      <w:tblW w:w="1020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AC1C67" w14:paraId="431D882F" w14:textId="77777777" w:rsidTr="003A0C39">
      <w:trPr>
        <w:trHeight w:val="1418"/>
      </w:trPr>
      <w:tc>
        <w:tcPr>
          <w:tcW w:w="2552" w:type="dxa"/>
          <w:vAlign w:val="center"/>
        </w:tcPr>
        <w:p w14:paraId="02FEFFDC" w14:textId="77777777" w:rsidR="00AC1C67" w:rsidRDefault="00AC1C67" w:rsidP="00DE57B3">
          <w:pPr>
            <w:ind w:left="0"/>
            <w:jc w:val="center"/>
          </w:pPr>
          <w:r w:rsidRPr="00024B5F">
            <w:rPr>
              <w:noProof/>
              <w:sz w:val="40"/>
              <w:szCs w:val="40"/>
              <w:lang w:eastAsia="fr-CH"/>
            </w:rPr>
            <w:drawing>
              <wp:inline distT="0" distB="0" distL="0" distR="0" wp14:anchorId="0DA3ADE1" wp14:editId="5B524809">
                <wp:extent cx="1171575" cy="7823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ia-flag-xs.jpg"/>
                        <pic:cNvPicPr/>
                      </pic:nvPicPr>
                      <pic:blipFill>
                        <a:blip r:embed="rId1">
                          <a:extLst>
                            <a:ext uri="{28A0092B-C50C-407E-A947-70E740481C1C}">
                              <a14:useLocalDpi xmlns:a14="http://schemas.microsoft.com/office/drawing/2010/main" val="0"/>
                            </a:ext>
                          </a:extLst>
                        </a:blip>
                        <a:stretch>
                          <a:fillRect/>
                        </a:stretch>
                      </pic:blipFill>
                      <pic:spPr>
                        <a:xfrm>
                          <a:off x="0" y="0"/>
                          <a:ext cx="1171575" cy="782320"/>
                        </a:xfrm>
                        <a:prstGeom prst="rect">
                          <a:avLst/>
                        </a:prstGeom>
                      </pic:spPr>
                    </pic:pic>
                  </a:graphicData>
                </a:graphic>
              </wp:inline>
            </w:drawing>
          </w:r>
        </w:p>
      </w:tc>
      <w:tc>
        <w:tcPr>
          <w:tcW w:w="2552" w:type="dxa"/>
          <w:vAlign w:val="center"/>
        </w:tcPr>
        <w:p w14:paraId="0BAA42AD" w14:textId="77777777" w:rsidR="00AC1C67" w:rsidRDefault="00AC1C67" w:rsidP="00DE57B3">
          <w:pPr>
            <w:ind w:left="0"/>
            <w:jc w:val="center"/>
          </w:pPr>
          <w:r w:rsidRPr="00024B5F">
            <w:rPr>
              <w:noProof/>
              <w:sz w:val="40"/>
              <w:szCs w:val="40"/>
              <w:lang w:eastAsia="fr-CH"/>
            </w:rPr>
            <w:drawing>
              <wp:inline distT="0" distB="0" distL="0" distR="0" wp14:anchorId="7EA25D0E" wp14:editId="35D8CF7B">
                <wp:extent cx="1428115" cy="71374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inea-bissau-flag-xs.jpg"/>
                        <pic:cNvPicPr/>
                      </pic:nvPicPr>
                      <pic:blipFill>
                        <a:blip r:embed="rId2">
                          <a:extLst>
                            <a:ext uri="{28A0092B-C50C-407E-A947-70E740481C1C}">
                              <a14:useLocalDpi xmlns:a14="http://schemas.microsoft.com/office/drawing/2010/main" val="0"/>
                            </a:ext>
                          </a:extLst>
                        </a:blip>
                        <a:stretch>
                          <a:fillRect/>
                        </a:stretch>
                      </pic:blipFill>
                      <pic:spPr>
                        <a:xfrm>
                          <a:off x="0" y="0"/>
                          <a:ext cx="1428115" cy="713740"/>
                        </a:xfrm>
                        <a:prstGeom prst="rect">
                          <a:avLst/>
                        </a:prstGeom>
                      </pic:spPr>
                    </pic:pic>
                  </a:graphicData>
                </a:graphic>
              </wp:inline>
            </w:drawing>
          </w:r>
        </w:p>
      </w:tc>
      <w:tc>
        <w:tcPr>
          <w:tcW w:w="2552" w:type="dxa"/>
          <w:vAlign w:val="center"/>
        </w:tcPr>
        <w:p w14:paraId="1DCC94F9" w14:textId="77777777" w:rsidR="00AC1C67" w:rsidRDefault="00AC1C67" w:rsidP="00DE57B3">
          <w:pPr>
            <w:ind w:left="0"/>
            <w:jc w:val="center"/>
          </w:pPr>
          <w:r w:rsidRPr="00024B5F">
            <w:rPr>
              <w:noProof/>
              <w:sz w:val="40"/>
              <w:szCs w:val="40"/>
              <w:lang w:eastAsia="fr-CH"/>
            </w:rPr>
            <w:drawing>
              <wp:inline distT="0" distB="0" distL="0" distR="0" wp14:anchorId="599C8304" wp14:editId="645B086B">
                <wp:extent cx="1296035" cy="713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uritanie.jfif"/>
                        <pic:cNvPicPr/>
                      </pic:nvPicPr>
                      <pic:blipFill rotWithShape="1">
                        <a:blip r:embed="rId3">
                          <a:extLst>
                            <a:ext uri="{28A0092B-C50C-407E-A947-70E740481C1C}">
                              <a14:useLocalDpi xmlns:a14="http://schemas.microsoft.com/office/drawing/2010/main" val="0"/>
                            </a:ext>
                          </a:extLst>
                        </a:blip>
                        <a:srcRect l="4114" r="4114"/>
                        <a:stretch/>
                      </pic:blipFill>
                      <pic:spPr bwMode="auto">
                        <a:xfrm>
                          <a:off x="0" y="0"/>
                          <a:ext cx="1296035" cy="713740"/>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center"/>
        </w:tcPr>
        <w:p w14:paraId="4C7BC410" w14:textId="77777777" w:rsidR="00AC1C67" w:rsidRDefault="00AC1C67" w:rsidP="00DE57B3">
          <w:pPr>
            <w:ind w:left="0"/>
            <w:jc w:val="center"/>
          </w:pPr>
          <w:r w:rsidRPr="00024B5F">
            <w:rPr>
              <w:noProof/>
              <w:sz w:val="40"/>
              <w:szCs w:val="40"/>
              <w:lang w:eastAsia="fr-CH"/>
            </w:rPr>
            <w:drawing>
              <wp:inline distT="0" distB="0" distL="0" distR="0" wp14:anchorId="135ED427" wp14:editId="37FDA97F">
                <wp:extent cx="1141730" cy="7620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egal-flag-xs.jpg"/>
                        <pic:cNvPicPr/>
                      </pic:nvPicPr>
                      <pic:blipFill>
                        <a:blip r:embed="rId4">
                          <a:extLst>
                            <a:ext uri="{28A0092B-C50C-407E-A947-70E740481C1C}">
                              <a14:useLocalDpi xmlns:a14="http://schemas.microsoft.com/office/drawing/2010/main" val="0"/>
                            </a:ext>
                          </a:extLst>
                        </a:blip>
                        <a:stretch>
                          <a:fillRect/>
                        </a:stretch>
                      </pic:blipFill>
                      <pic:spPr>
                        <a:xfrm>
                          <a:off x="0" y="0"/>
                          <a:ext cx="1141730" cy="762000"/>
                        </a:xfrm>
                        <a:prstGeom prst="rect">
                          <a:avLst/>
                        </a:prstGeom>
                      </pic:spPr>
                    </pic:pic>
                  </a:graphicData>
                </a:graphic>
              </wp:inline>
            </w:drawing>
          </w:r>
        </w:p>
      </w:tc>
    </w:tr>
    <w:tr w:rsidR="00AC1C67" w14:paraId="208446FA" w14:textId="77777777" w:rsidTr="005C583E">
      <w:trPr>
        <w:trHeight w:val="2074"/>
      </w:trPr>
      <w:tc>
        <w:tcPr>
          <w:tcW w:w="5104" w:type="dxa"/>
          <w:gridSpan w:val="2"/>
          <w:vAlign w:val="center"/>
        </w:tcPr>
        <w:p w14:paraId="5A4CFC09" w14:textId="77777777" w:rsidR="00AC1C67" w:rsidRDefault="00AC1C67" w:rsidP="00DE57B3">
          <w:pPr>
            <w:ind w:left="0"/>
            <w:jc w:val="center"/>
          </w:pPr>
          <w:r>
            <w:rPr>
              <w:noProof/>
              <w:lang w:eastAsia="fr-CH"/>
            </w:rPr>
            <w:drawing>
              <wp:inline distT="0" distB="0" distL="0" distR="0" wp14:anchorId="195C3200" wp14:editId="00F6DAB5">
                <wp:extent cx="858741" cy="88663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MVG.jfif"/>
                        <pic:cNvPicPr/>
                      </pic:nvPicPr>
                      <pic:blipFill>
                        <a:blip r:embed="rId5">
                          <a:extLst>
                            <a:ext uri="{28A0092B-C50C-407E-A947-70E740481C1C}">
                              <a14:useLocalDpi xmlns:a14="http://schemas.microsoft.com/office/drawing/2010/main" val="0"/>
                            </a:ext>
                          </a:extLst>
                        </a:blip>
                        <a:stretch>
                          <a:fillRect/>
                        </a:stretch>
                      </pic:blipFill>
                      <pic:spPr>
                        <a:xfrm>
                          <a:off x="0" y="0"/>
                          <a:ext cx="871519" cy="899827"/>
                        </a:xfrm>
                        <a:prstGeom prst="rect">
                          <a:avLst/>
                        </a:prstGeom>
                      </pic:spPr>
                    </pic:pic>
                  </a:graphicData>
                </a:graphic>
              </wp:inline>
            </w:drawing>
          </w:r>
        </w:p>
      </w:tc>
      <w:tc>
        <w:tcPr>
          <w:tcW w:w="5104" w:type="dxa"/>
          <w:gridSpan w:val="2"/>
          <w:vAlign w:val="center"/>
        </w:tcPr>
        <w:p w14:paraId="4D6E6E24" w14:textId="395E4342" w:rsidR="00AC1C67" w:rsidRDefault="00AC1C67" w:rsidP="00DE57B3">
          <w:pPr>
            <w:ind w:left="0"/>
            <w:jc w:val="center"/>
          </w:pPr>
          <w:r>
            <w:rPr>
              <w:noProof/>
              <w:lang w:eastAsia="fr-CH"/>
            </w:rPr>
            <w:drawing>
              <wp:inline distT="0" distB="0" distL="0" distR="0" wp14:anchorId="193107C8" wp14:editId="090435B7">
                <wp:extent cx="658586" cy="10477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MVS.jfif"/>
                        <pic:cNvPicPr/>
                      </pic:nvPicPr>
                      <pic:blipFill>
                        <a:blip r:embed="rId6">
                          <a:extLst>
                            <a:ext uri="{28A0092B-C50C-407E-A947-70E740481C1C}">
                              <a14:useLocalDpi xmlns:a14="http://schemas.microsoft.com/office/drawing/2010/main" val="0"/>
                            </a:ext>
                          </a:extLst>
                        </a:blip>
                        <a:stretch>
                          <a:fillRect/>
                        </a:stretch>
                      </pic:blipFill>
                      <pic:spPr>
                        <a:xfrm>
                          <a:off x="0" y="0"/>
                          <a:ext cx="658586" cy="1047750"/>
                        </a:xfrm>
                        <a:prstGeom prst="rect">
                          <a:avLst/>
                        </a:prstGeom>
                      </pic:spPr>
                    </pic:pic>
                  </a:graphicData>
                </a:graphic>
              </wp:inline>
            </w:drawing>
          </w:r>
        </w:p>
      </w:tc>
    </w:tr>
  </w:tbl>
  <w:p w14:paraId="1E9F60CB" w14:textId="644206F6" w:rsidR="00AC1C67" w:rsidRPr="00052847" w:rsidRDefault="00AC1C67" w:rsidP="00382983">
    <w:pPr>
      <w:tabs>
        <w:tab w:val="left" w:pos="990"/>
      </w:tabs>
      <w:rPr>
        <w:sz w:val="2"/>
        <w:szCs w:val="2"/>
      </w:rPr>
    </w:pPr>
  </w:p>
  <w:p w14:paraId="129CE3E0" w14:textId="1E3627BE" w:rsidR="00AC1C67" w:rsidRPr="00052847" w:rsidRDefault="00AC1C67" w:rsidP="00052847">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3676" w14:textId="64E0F56E" w:rsidR="00AC1C67" w:rsidRPr="00052847" w:rsidRDefault="00AC1C67" w:rsidP="00052847">
    <w:pPr>
      <w:rPr>
        <w:sz w:val="2"/>
        <w:szCs w:val="2"/>
      </w:rPr>
    </w:pPr>
  </w:p>
  <w:tbl>
    <w:tblPr>
      <w:tblW w:w="10164" w:type="dxa"/>
      <w:tblInd w:w="-567" w:type="dxa"/>
      <w:tblBorders>
        <w:bottom w:val="single" w:sz="18" w:space="0" w:color="8496B0" w:themeColor="text2" w:themeTint="99"/>
      </w:tblBorders>
      <w:tblLayout w:type="fixed"/>
      <w:tblLook w:val="04A0" w:firstRow="1" w:lastRow="0" w:firstColumn="1" w:lastColumn="0" w:noHBand="0" w:noVBand="1"/>
    </w:tblPr>
    <w:tblGrid>
      <w:gridCol w:w="2552"/>
      <w:gridCol w:w="2977"/>
      <w:gridCol w:w="2551"/>
      <w:gridCol w:w="2084"/>
    </w:tblGrid>
    <w:tr w:rsidR="00AC1C67" w:rsidRPr="00370EFC" w14:paraId="59FC9DBC" w14:textId="77777777" w:rsidTr="00C83D85">
      <w:trPr>
        <w:trHeight w:val="1276"/>
      </w:trPr>
      <w:tc>
        <w:tcPr>
          <w:tcW w:w="2552" w:type="dxa"/>
          <w:shd w:val="clear" w:color="auto" w:fill="auto"/>
          <w:vAlign w:val="center"/>
        </w:tcPr>
        <w:p w14:paraId="5EC9C6C1" w14:textId="1AF69142" w:rsidR="00AC1C67" w:rsidRPr="00370EFC" w:rsidRDefault="00AC1C67" w:rsidP="00C83D85">
          <w:pPr>
            <w:pStyle w:val="Header"/>
            <w:spacing w:before="0" w:after="0"/>
            <w:ind w:left="0"/>
            <w:jc w:val="center"/>
            <w:rPr>
              <w:sz w:val="12"/>
              <w:szCs w:val="12"/>
            </w:rPr>
          </w:pPr>
          <w:r w:rsidRPr="00024B5F">
            <w:rPr>
              <w:noProof/>
              <w:sz w:val="40"/>
              <w:szCs w:val="40"/>
              <w:lang w:eastAsia="fr-CH"/>
            </w:rPr>
            <w:drawing>
              <wp:inline distT="0" distB="0" distL="0" distR="0" wp14:anchorId="378C4013" wp14:editId="31185A94">
                <wp:extent cx="756000" cy="507600"/>
                <wp:effectExtent l="0" t="0" r="635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ia-flag-xs.jpg"/>
                        <pic:cNvPicPr/>
                      </pic:nvPicPr>
                      <pic:blipFill>
                        <a:blip r:embed="rId1">
                          <a:extLst>
                            <a:ext uri="{28A0092B-C50C-407E-A947-70E740481C1C}">
                              <a14:useLocalDpi xmlns:a14="http://schemas.microsoft.com/office/drawing/2010/main" val="0"/>
                            </a:ext>
                          </a:extLst>
                        </a:blip>
                        <a:stretch>
                          <a:fillRect/>
                        </a:stretch>
                      </pic:blipFill>
                      <pic:spPr>
                        <a:xfrm>
                          <a:off x="0" y="0"/>
                          <a:ext cx="756000" cy="507600"/>
                        </a:xfrm>
                        <a:prstGeom prst="rect">
                          <a:avLst/>
                        </a:prstGeom>
                      </pic:spPr>
                    </pic:pic>
                  </a:graphicData>
                </a:graphic>
              </wp:inline>
            </w:drawing>
          </w:r>
        </w:p>
      </w:tc>
      <w:tc>
        <w:tcPr>
          <w:tcW w:w="2977" w:type="dxa"/>
          <w:vAlign w:val="center"/>
        </w:tcPr>
        <w:p w14:paraId="7DDAB2E6" w14:textId="2D940390" w:rsidR="00AC1C67" w:rsidRPr="00370EFC" w:rsidRDefault="00AC1C67" w:rsidP="00C83D85">
          <w:pPr>
            <w:pStyle w:val="Header"/>
            <w:spacing w:before="0" w:after="0"/>
            <w:ind w:left="0"/>
            <w:jc w:val="center"/>
            <w:rPr>
              <w:rFonts w:ascii="TheSans-Caps" w:hAnsi="TheSans-Caps"/>
              <w:noProof/>
              <w:sz w:val="18"/>
              <w:szCs w:val="16"/>
              <w:lang w:eastAsia="fr-CH"/>
            </w:rPr>
          </w:pPr>
          <w:r w:rsidRPr="00024B5F">
            <w:rPr>
              <w:noProof/>
              <w:sz w:val="40"/>
              <w:szCs w:val="40"/>
              <w:lang w:eastAsia="fr-CH"/>
            </w:rPr>
            <w:drawing>
              <wp:inline distT="0" distB="0" distL="0" distR="0" wp14:anchorId="7144F5D0" wp14:editId="4DE16A5A">
                <wp:extent cx="900000" cy="45000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inea-bissau-flag-xs.jpg"/>
                        <pic:cNvPicPr/>
                      </pic:nvPicPr>
                      <pic:blipFill>
                        <a:blip r:embed="rId2">
                          <a:extLst>
                            <a:ext uri="{28A0092B-C50C-407E-A947-70E740481C1C}">
                              <a14:useLocalDpi xmlns:a14="http://schemas.microsoft.com/office/drawing/2010/main" val="0"/>
                            </a:ext>
                          </a:extLst>
                        </a:blip>
                        <a:stretch>
                          <a:fillRect/>
                        </a:stretch>
                      </pic:blipFill>
                      <pic:spPr>
                        <a:xfrm>
                          <a:off x="0" y="0"/>
                          <a:ext cx="900000" cy="450000"/>
                        </a:xfrm>
                        <a:prstGeom prst="rect">
                          <a:avLst/>
                        </a:prstGeom>
                      </pic:spPr>
                    </pic:pic>
                  </a:graphicData>
                </a:graphic>
              </wp:inline>
            </w:drawing>
          </w:r>
        </w:p>
      </w:tc>
      <w:tc>
        <w:tcPr>
          <w:tcW w:w="2551" w:type="dxa"/>
          <w:vAlign w:val="center"/>
        </w:tcPr>
        <w:p w14:paraId="4A0E2B1F" w14:textId="77777777" w:rsidR="00AC1C67" w:rsidRPr="00370EFC" w:rsidRDefault="00AC1C67" w:rsidP="00C83D85">
          <w:pPr>
            <w:pStyle w:val="Header"/>
            <w:spacing w:before="0" w:after="0"/>
            <w:ind w:left="0"/>
            <w:jc w:val="center"/>
            <w:rPr>
              <w:rFonts w:ascii="TheSans-Caps" w:hAnsi="TheSans-Caps"/>
              <w:noProof/>
              <w:sz w:val="18"/>
              <w:szCs w:val="16"/>
              <w:lang w:eastAsia="fr-CH"/>
            </w:rPr>
          </w:pPr>
          <w:r w:rsidRPr="00024B5F">
            <w:rPr>
              <w:noProof/>
              <w:sz w:val="40"/>
              <w:szCs w:val="40"/>
              <w:lang w:eastAsia="fr-CH"/>
            </w:rPr>
            <w:drawing>
              <wp:inline distT="0" distB="0" distL="0" distR="0" wp14:anchorId="39E04959" wp14:editId="526AC50A">
                <wp:extent cx="900000" cy="496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uritanie.jfif"/>
                        <pic:cNvPicPr/>
                      </pic:nvPicPr>
                      <pic:blipFill rotWithShape="1">
                        <a:blip r:embed="rId3">
                          <a:extLst>
                            <a:ext uri="{28A0092B-C50C-407E-A947-70E740481C1C}">
                              <a14:useLocalDpi xmlns:a14="http://schemas.microsoft.com/office/drawing/2010/main" val="0"/>
                            </a:ext>
                          </a:extLst>
                        </a:blip>
                        <a:srcRect l="4114" r="4114"/>
                        <a:stretch/>
                      </pic:blipFill>
                      <pic:spPr bwMode="auto">
                        <a:xfrm>
                          <a:off x="0" y="0"/>
                          <a:ext cx="90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2084" w:type="dxa"/>
          <w:shd w:val="clear" w:color="auto" w:fill="auto"/>
          <w:vAlign w:val="center"/>
        </w:tcPr>
        <w:p w14:paraId="3BF8FC87" w14:textId="2B3CD3B1" w:rsidR="00AC1C67" w:rsidRPr="00C83D85" w:rsidRDefault="00AC1C67" w:rsidP="00C83D85">
          <w:pPr>
            <w:pStyle w:val="Header"/>
            <w:spacing w:before="0" w:after="0"/>
            <w:ind w:left="0"/>
            <w:jc w:val="center"/>
            <w:rPr>
              <w:rFonts w:ascii="National Light" w:hAnsi="National Light"/>
              <w:color w:val="4F81BD"/>
              <w:sz w:val="16"/>
              <w:szCs w:val="16"/>
            </w:rPr>
          </w:pPr>
          <w:r w:rsidRPr="00024B5F">
            <w:rPr>
              <w:noProof/>
              <w:sz w:val="40"/>
              <w:szCs w:val="40"/>
              <w:lang w:eastAsia="fr-CH"/>
            </w:rPr>
            <w:drawing>
              <wp:inline distT="0" distB="0" distL="0" distR="0" wp14:anchorId="1364FF69" wp14:editId="7D7FC7B0">
                <wp:extent cx="756000" cy="5040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egal-flag-xs.jpg"/>
                        <pic:cNvPicPr/>
                      </pic:nvPicPr>
                      <pic:blipFill>
                        <a:blip r:embed="rId4">
                          <a:extLst>
                            <a:ext uri="{28A0092B-C50C-407E-A947-70E740481C1C}">
                              <a14:useLocalDpi xmlns:a14="http://schemas.microsoft.com/office/drawing/2010/main" val="0"/>
                            </a:ext>
                          </a:extLst>
                        </a:blip>
                        <a:stretch>
                          <a:fillRect/>
                        </a:stretch>
                      </pic:blipFill>
                      <pic:spPr>
                        <a:xfrm>
                          <a:off x="0" y="0"/>
                          <a:ext cx="756000" cy="504000"/>
                        </a:xfrm>
                        <a:prstGeom prst="rect">
                          <a:avLst/>
                        </a:prstGeom>
                      </pic:spPr>
                    </pic:pic>
                  </a:graphicData>
                </a:graphic>
              </wp:inline>
            </w:drawing>
          </w:r>
        </w:p>
      </w:tc>
    </w:tr>
  </w:tbl>
  <w:p w14:paraId="327DC898" w14:textId="6D587BD1" w:rsidR="00AC1C67" w:rsidRPr="00052847" w:rsidRDefault="00AC1C67" w:rsidP="00052847">
    <w:pPr>
      <w:rPr>
        <w:sz w:val="2"/>
        <w:szCs w:val="2"/>
      </w:rPr>
    </w:pPr>
  </w:p>
  <w:p w14:paraId="1E853EDF" w14:textId="57F935EA" w:rsidR="00AC1C67" w:rsidRPr="00052847" w:rsidRDefault="00AC1C67" w:rsidP="00052847">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EE9"/>
    <w:multiLevelType w:val="hybridMultilevel"/>
    <w:tmpl w:val="AFACEB32"/>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1" w15:restartNumberingAfterBreak="0">
    <w:nsid w:val="00B26306"/>
    <w:multiLevelType w:val="hybridMultilevel"/>
    <w:tmpl w:val="82381A1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2F92B62"/>
    <w:multiLevelType w:val="hybridMultilevel"/>
    <w:tmpl w:val="3524FD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9E82C5D"/>
    <w:multiLevelType w:val="hybridMultilevel"/>
    <w:tmpl w:val="57721AD4"/>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4" w15:restartNumberingAfterBreak="0">
    <w:nsid w:val="134C7474"/>
    <w:multiLevelType w:val="hybridMultilevel"/>
    <w:tmpl w:val="2D52184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213D510B"/>
    <w:multiLevelType w:val="hybridMultilevel"/>
    <w:tmpl w:val="B57CF528"/>
    <w:lvl w:ilvl="0" w:tplc="100C0001">
      <w:start w:val="1"/>
      <w:numFmt w:val="bullet"/>
      <w:lvlText w:val=""/>
      <w:lvlJc w:val="left"/>
      <w:pPr>
        <w:ind w:left="3039" w:hanging="360"/>
      </w:pPr>
      <w:rPr>
        <w:rFonts w:ascii="Symbol" w:hAnsi="Symbol" w:hint="default"/>
      </w:rPr>
    </w:lvl>
    <w:lvl w:ilvl="1" w:tplc="100C0003" w:tentative="1">
      <w:start w:val="1"/>
      <w:numFmt w:val="bullet"/>
      <w:lvlText w:val="o"/>
      <w:lvlJc w:val="left"/>
      <w:pPr>
        <w:ind w:left="3759" w:hanging="360"/>
      </w:pPr>
      <w:rPr>
        <w:rFonts w:ascii="Courier New" w:hAnsi="Courier New" w:cs="Courier New" w:hint="default"/>
      </w:rPr>
    </w:lvl>
    <w:lvl w:ilvl="2" w:tplc="100C0005" w:tentative="1">
      <w:start w:val="1"/>
      <w:numFmt w:val="bullet"/>
      <w:lvlText w:val=""/>
      <w:lvlJc w:val="left"/>
      <w:pPr>
        <w:ind w:left="4479" w:hanging="360"/>
      </w:pPr>
      <w:rPr>
        <w:rFonts w:ascii="Wingdings" w:hAnsi="Wingdings" w:hint="default"/>
      </w:rPr>
    </w:lvl>
    <w:lvl w:ilvl="3" w:tplc="100C0001" w:tentative="1">
      <w:start w:val="1"/>
      <w:numFmt w:val="bullet"/>
      <w:lvlText w:val=""/>
      <w:lvlJc w:val="left"/>
      <w:pPr>
        <w:ind w:left="5199" w:hanging="360"/>
      </w:pPr>
      <w:rPr>
        <w:rFonts w:ascii="Symbol" w:hAnsi="Symbol" w:hint="default"/>
      </w:rPr>
    </w:lvl>
    <w:lvl w:ilvl="4" w:tplc="100C0003" w:tentative="1">
      <w:start w:val="1"/>
      <w:numFmt w:val="bullet"/>
      <w:lvlText w:val="o"/>
      <w:lvlJc w:val="left"/>
      <w:pPr>
        <w:ind w:left="5919" w:hanging="360"/>
      </w:pPr>
      <w:rPr>
        <w:rFonts w:ascii="Courier New" w:hAnsi="Courier New" w:cs="Courier New" w:hint="default"/>
      </w:rPr>
    </w:lvl>
    <w:lvl w:ilvl="5" w:tplc="100C0005" w:tentative="1">
      <w:start w:val="1"/>
      <w:numFmt w:val="bullet"/>
      <w:lvlText w:val=""/>
      <w:lvlJc w:val="left"/>
      <w:pPr>
        <w:ind w:left="6639" w:hanging="360"/>
      </w:pPr>
      <w:rPr>
        <w:rFonts w:ascii="Wingdings" w:hAnsi="Wingdings" w:hint="default"/>
      </w:rPr>
    </w:lvl>
    <w:lvl w:ilvl="6" w:tplc="100C0001" w:tentative="1">
      <w:start w:val="1"/>
      <w:numFmt w:val="bullet"/>
      <w:lvlText w:val=""/>
      <w:lvlJc w:val="left"/>
      <w:pPr>
        <w:ind w:left="7359" w:hanging="360"/>
      </w:pPr>
      <w:rPr>
        <w:rFonts w:ascii="Symbol" w:hAnsi="Symbol" w:hint="default"/>
      </w:rPr>
    </w:lvl>
    <w:lvl w:ilvl="7" w:tplc="100C0003" w:tentative="1">
      <w:start w:val="1"/>
      <w:numFmt w:val="bullet"/>
      <w:lvlText w:val="o"/>
      <w:lvlJc w:val="left"/>
      <w:pPr>
        <w:ind w:left="8079" w:hanging="360"/>
      </w:pPr>
      <w:rPr>
        <w:rFonts w:ascii="Courier New" w:hAnsi="Courier New" w:cs="Courier New" w:hint="default"/>
      </w:rPr>
    </w:lvl>
    <w:lvl w:ilvl="8" w:tplc="100C0005" w:tentative="1">
      <w:start w:val="1"/>
      <w:numFmt w:val="bullet"/>
      <w:lvlText w:val=""/>
      <w:lvlJc w:val="left"/>
      <w:pPr>
        <w:ind w:left="8799" w:hanging="360"/>
      </w:pPr>
      <w:rPr>
        <w:rFonts w:ascii="Wingdings" w:hAnsi="Wingdings" w:hint="default"/>
      </w:rPr>
    </w:lvl>
  </w:abstractNum>
  <w:abstractNum w:abstractNumId="6" w15:restartNumberingAfterBreak="0">
    <w:nsid w:val="23146347"/>
    <w:multiLevelType w:val="hybridMultilevel"/>
    <w:tmpl w:val="3730B24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24881EA8"/>
    <w:multiLevelType w:val="hybridMultilevel"/>
    <w:tmpl w:val="C6AEA54C"/>
    <w:lvl w:ilvl="0" w:tplc="572A458C">
      <w:numFmt w:val="bullet"/>
      <w:lvlText w:val="-"/>
      <w:lvlJc w:val="left"/>
      <w:pPr>
        <w:ind w:left="36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8526F"/>
    <w:multiLevelType w:val="hybridMultilevel"/>
    <w:tmpl w:val="5E008A98"/>
    <w:lvl w:ilvl="0" w:tplc="100C000F">
      <w:start w:val="1"/>
      <w:numFmt w:val="decimal"/>
      <w:lvlText w:val="%1."/>
      <w:lvlJc w:val="left"/>
      <w:pPr>
        <w:ind w:left="153" w:hanging="360"/>
      </w:pPr>
    </w:lvl>
    <w:lvl w:ilvl="1" w:tplc="100C0019" w:tentative="1">
      <w:start w:val="1"/>
      <w:numFmt w:val="lowerLetter"/>
      <w:lvlText w:val="%2."/>
      <w:lvlJc w:val="left"/>
      <w:pPr>
        <w:ind w:left="873" w:hanging="360"/>
      </w:pPr>
    </w:lvl>
    <w:lvl w:ilvl="2" w:tplc="100C001B" w:tentative="1">
      <w:start w:val="1"/>
      <w:numFmt w:val="lowerRoman"/>
      <w:lvlText w:val="%3."/>
      <w:lvlJc w:val="right"/>
      <w:pPr>
        <w:ind w:left="1593" w:hanging="180"/>
      </w:pPr>
    </w:lvl>
    <w:lvl w:ilvl="3" w:tplc="100C000F" w:tentative="1">
      <w:start w:val="1"/>
      <w:numFmt w:val="decimal"/>
      <w:lvlText w:val="%4."/>
      <w:lvlJc w:val="left"/>
      <w:pPr>
        <w:ind w:left="2313" w:hanging="360"/>
      </w:pPr>
    </w:lvl>
    <w:lvl w:ilvl="4" w:tplc="100C0019" w:tentative="1">
      <w:start w:val="1"/>
      <w:numFmt w:val="lowerLetter"/>
      <w:lvlText w:val="%5."/>
      <w:lvlJc w:val="left"/>
      <w:pPr>
        <w:ind w:left="3033" w:hanging="360"/>
      </w:pPr>
    </w:lvl>
    <w:lvl w:ilvl="5" w:tplc="100C001B" w:tentative="1">
      <w:start w:val="1"/>
      <w:numFmt w:val="lowerRoman"/>
      <w:lvlText w:val="%6."/>
      <w:lvlJc w:val="right"/>
      <w:pPr>
        <w:ind w:left="3753" w:hanging="180"/>
      </w:pPr>
    </w:lvl>
    <w:lvl w:ilvl="6" w:tplc="100C000F" w:tentative="1">
      <w:start w:val="1"/>
      <w:numFmt w:val="decimal"/>
      <w:lvlText w:val="%7."/>
      <w:lvlJc w:val="left"/>
      <w:pPr>
        <w:ind w:left="4473" w:hanging="360"/>
      </w:pPr>
    </w:lvl>
    <w:lvl w:ilvl="7" w:tplc="100C0019" w:tentative="1">
      <w:start w:val="1"/>
      <w:numFmt w:val="lowerLetter"/>
      <w:lvlText w:val="%8."/>
      <w:lvlJc w:val="left"/>
      <w:pPr>
        <w:ind w:left="5193" w:hanging="360"/>
      </w:pPr>
    </w:lvl>
    <w:lvl w:ilvl="8" w:tplc="100C001B" w:tentative="1">
      <w:start w:val="1"/>
      <w:numFmt w:val="lowerRoman"/>
      <w:lvlText w:val="%9."/>
      <w:lvlJc w:val="right"/>
      <w:pPr>
        <w:ind w:left="5913" w:hanging="180"/>
      </w:pPr>
    </w:lvl>
  </w:abstractNum>
  <w:abstractNum w:abstractNumId="9" w15:restartNumberingAfterBreak="0">
    <w:nsid w:val="297B121F"/>
    <w:multiLevelType w:val="hybridMultilevel"/>
    <w:tmpl w:val="EA8698D4"/>
    <w:lvl w:ilvl="0" w:tplc="9C528410">
      <w:start w:val="1"/>
      <w:numFmt w:val="decimal"/>
      <w:lvlText w:val="%1."/>
      <w:lvlJc w:val="left"/>
      <w:pPr>
        <w:ind w:left="1113" w:hanging="360"/>
      </w:pPr>
      <w:rPr>
        <w:rFonts w:hint="default"/>
      </w:rPr>
    </w:lvl>
    <w:lvl w:ilvl="1" w:tplc="100C0019" w:tentative="1">
      <w:start w:val="1"/>
      <w:numFmt w:val="lowerLetter"/>
      <w:lvlText w:val="%2."/>
      <w:lvlJc w:val="left"/>
      <w:pPr>
        <w:ind w:left="1833" w:hanging="360"/>
      </w:pPr>
    </w:lvl>
    <w:lvl w:ilvl="2" w:tplc="100C001B" w:tentative="1">
      <w:start w:val="1"/>
      <w:numFmt w:val="lowerRoman"/>
      <w:lvlText w:val="%3."/>
      <w:lvlJc w:val="right"/>
      <w:pPr>
        <w:ind w:left="2553" w:hanging="180"/>
      </w:pPr>
    </w:lvl>
    <w:lvl w:ilvl="3" w:tplc="100C000F" w:tentative="1">
      <w:start w:val="1"/>
      <w:numFmt w:val="decimal"/>
      <w:lvlText w:val="%4."/>
      <w:lvlJc w:val="left"/>
      <w:pPr>
        <w:ind w:left="3273" w:hanging="360"/>
      </w:pPr>
    </w:lvl>
    <w:lvl w:ilvl="4" w:tplc="100C0019" w:tentative="1">
      <w:start w:val="1"/>
      <w:numFmt w:val="lowerLetter"/>
      <w:lvlText w:val="%5."/>
      <w:lvlJc w:val="left"/>
      <w:pPr>
        <w:ind w:left="3993" w:hanging="360"/>
      </w:pPr>
    </w:lvl>
    <w:lvl w:ilvl="5" w:tplc="100C001B" w:tentative="1">
      <w:start w:val="1"/>
      <w:numFmt w:val="lowerRoman"/>
      <w:lvlText w:val="%6."/>
      <w:lvlJc w:val="right"/>
      <w:pPr>
        <w:ind w:left="4713" w:hanging="180"/>
      </w:pPr>
    </w:lvl>
    <w:lvl w:ilvl="6" w:tplc="100C000F" w:tentative="1">
      <w:start w:val="1"/>
      <w:numFmt w:val="decimal"/>
      <w:lvlText w:val="%7."/>
      <w:lvlJc w:val="left"/>
      <w:pPr>
        <w:ind w:left="5433" w:hanging="360"/>
      </w:pPr>
    </w:lvl>
    <w:lvl w:ilvl="7" w:tplc="100C0019" w:tentative="1">
      <w:start w:val="1"/>
      <w:numFmt w:val="lowerLetter"/>
      <w:lvlText w:val="%8."/>
      <w:lvlJc w:val="left"/>
      <w:pPr>
        <w:ind w:left="6153" w:hanging="360"/>
      </w:pPr>
    </w:lvl>
    <w:lvl w:ilvl="8" w:tplc="100C001B" w:tentative="1">
      <w:start w:val="1"/>
      <w:numFmt w:val="lowerRoman"/>
      <w:lvlText w:val="%9."/>
      <w:lvlJc w:val="right"/>
      <w:pPr>
        <w:ind w:left="6873" w:hanging="180"/>
      </w:pPr>
    </w:lvl>
  </w:abstractNum>
  <w:abstractNum w:abstractNumId="10" w15:restartNumberingAfterBreak="0">
    <w:nsid w:val="2A577D4A"/>
    <w:multiLevelType w:val="hybridMultilevel"/>
    <w:tmpl w:val="DA7442F0"/>
    <w:lvl w:ilvl="0" w:tplc="2EFE1FB6">
      <w:start w:val="1205"/>
      <w:numFmt w:val="bullet"/>
      <w:lvlText w:val="-"/>
      <w:lvlJc w:val="left"/>
      <w:pPr>
        <w:ind w:left="648" w:hanging="360"/>
      </w:pPr>
      <w:rPr>
        <w:rFonts w:ascii="National Regular" w:eastAsia="MS Mincho" w:hAnsi="National Regular"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11" w15:restartNumberingAfterBreak="0">
    <w:nsid w:val="2D8A4323"/>
    <w:multiLevelType w:val="hybridMultilevel"/>
    <w:tmpl w:val="8D8A86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2DD03F1E"/>
    <w:multiLevelType w:val="hybridMultilevel"/>
    <w:tmpl w:val="E99EE3A2"/>
    <w:lvl w:ilvl="0" w:tplc="E6002578">
      <w:start w:val="1"/>
      <w:numFmt w:val="bullet"/>
      <w:lvlText w:val="-"/>
      <w:lvlJc w:val="left"/>
      <w:pPr>
        <w:ind w:left="-207" w:hanging="360"/>
      </w:pPr>
      <w:rPr>
        <w:rFonts w:ascii="National Regular" w:eastAsia="MS Mincho" w:hAnsi="National Regular" w:cs="Times New Roman"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3" w15:restartNumberingAfterBreak="0">
    <w:nsid w:val="2E45499E"/>
    <w:multiLevelType w:val="hybridMultilevel"/>
    <w:tmpl w:val="F4C28298"/>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14" w15:restartNumberingAfterBreak="0">
    <w:nsid w:val="2F324588"/>
    <w:multiLevelType w:val="hybridMultilevel"/>
    <w:tmpl w:val="A4C6D52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5" w15:restartNumberingAfterBreak="0">
    <w:nsid w:val="334C35A0"/>
    <w:multiLevelType w:val="hybridMultilevel"/>
    <w:tmpl w:val="DF30D2A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33EA4B0F"/>
    <w:multiLevelType w:val="hybridMultilevel"/>
    <w:tmpl w:val="A82C4638"/>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17" w15:restartNumberingAfterBreak="0">
    <w:nsid w:val="3A5D40FF"/>
    <w:multiLevelType w:val="hybridMultilevel"/>
    <w:tmpl w:val="53FEB896"/>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18" w15:restartNumberingAfterBreak="0">
    <w:nsid w:val="3DC56A30"/>
    <w:multiLevelType w:val="hybridMultilevel"/>
    <w:tmpl w:val="BC72D936"/>
    <w:lvl w:ilvl="0" w:tplc="0409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9" w15:restartNumberingAfterBreak="0">
    <w:nsid w:val="3F58658E"/>
    <w:multiLevelType w:val="hybridMultilevel"/>
    <w:tmpl w:val="FD4A947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3FBF3580"/>
    <w:multiLevelType w:val="hybridMultilevel"/>
    <w:tmpl w:val="3D0AF84C"/>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21" w15:restartNumberingAfterBreak="0">
    <w:nsid w:val="46A02805"/>
    <w:multiLevelType w:val="multilevel"/>
    <w:tmpl w:val="424005EE"/>
    <w:lvl w:ilvl="0">
      <w:start w:val="1"/>
      <w:numFmt w:val="decimal"/>
      <w:pStyle w:val="Heading2"/>
      <w:lvlText w:val="%1"/>
      <w:lvlJc w:val="left"/>
      <w:pPr>
        <w:ind w:left="-210" w:hanging="357"/>
      </w:pPr>
      <w:rPr>
        <w:rFonts w:hint="default"/>
        <w:sz w:val="32"/>
      </w:rPr>
    </w:lvl>
    <w:lvl w:ilvl="1">
      <w:start w:val="1"/>
      <w:numFmt w:val="decimal"/>
      <w:pStyle w:val="Heading3"/>
      <w:lvlText w:val="%1.%2"/>
      <w:lvlJc w:val="left"/>
      <w:pPr>
        <w:ind w:left="-113" w:hanging="454"/>
      </w:pPr>
      <w:rPr>
        <w:rFonts w:hint="default"/>
      </w:rPr>
    </w:lvl>
    <w:lvl w:ilvl="2">
      <w:start w:val="1"/>
      <w:numFmt w:val="decimal"/>
      <w:pStyle w:val="Heading4"/>
      <w:lvlText w:val="%1.%2.%3"/>
      <w:lvlJc w:val="left"/>
      <w:pPr>
        <w:ind w:left="340" w:hanging="907"/>
      </w:pPr>
      <w:rPr>
        <w:rFonts w:hint="default"/>
      </w:rPr>
    </w:lvl>
    <w:lvl w:ilvl="3">
      <w:start w:val="1"/>
      <w:numFmt w:val="decimal"/>
      <w:lvlText w:val="%1.%2.%3.%4"/>
      <w:lvlJc w:val="left"/>
      <w:pPr>
        <w:ind w:left="-210" w:hanging="357"/>
      </w:pPr>
      <w:rPr>
        <w:rFonts w:hint="default"/>
      </w:rPr>
    </w:lvl>
    <w:lvl w:ilvl="4">
      <w:start w:val="1"/>
      <w:numFmt w:val="decimal"/>
      <w:lvlText w:val="%1.%2.%3.%4.%5"/>
      <w:lvlJc w:val="left"/>
      <w:pPr>
        <w:ind w:left="-210" w:hanging="357"/>
      </w:pPr>
      <w:rPr>
        <w:rFonts w:hint="default"/>
      </w:rPr>
    </w:lvl>
    <w:lvl w:ilvl="5">
      <w:start w:val="1"/>
      <w:numFmt w:val="decimal"/>
      <w:lvlText w:val="%1.%2.%3.%4.%5.%6"/>
      <w:lvlJc w:val="left"/>
      <w:pPr>
        <w:ind w:left="-210" w:hanging="357"/>
      </w:pPr>
      <w:rPr>
        <w:rFonts w:hint="default"/>
      </w:rPr>
    </w:lvl>
    <w:lvl w:ilvl="6">
      <w:start w:val="1"/>
      <w:numFmt w:val="decimal"/>
      <w:lvlText w:val="%1.%2.%3.%4.%5.%6.%7"/>
      <w:lvlJc w:val="left"/>
      <w:pPr>
        <w:ind w:left="-210" w:hanging="357"/>
      </w:pPr>
      <w:rPr>
        <w:rFonts w:hint="default"/>
      </w:rPr>
    </w:lvl>
    <w:lvl w:ilvl="7">
      <w:start w:val="1"/>
      <w:numFmt w:val="decimal"/>
      <w:lvlText w:val="%1.%2.%3.%4.%5.%6.%7.%8"/>
      <w:lvlJc w:val="left"/>
      <w:pPr>
        <w:ind w:left="-210" w:hanging="357"/>
      </w:pPr>
      <w:rPr>
        <w:rFonts w:hint="default"/>
      </w:rPr>
    </w:lvl>
    <w:lvl w:ilvl="8">
      <w:start w:val="1"/>
      <w:numFmt w:val="decimal"/>
      <w:lvlText w:val="%1.%2.%3.%4.%5.%6.%7.%8.%9"/>
      <w:lvlJc w:val="left"/>
      <w:pPr>
        <w:ind w:left="-210" w:hanging="357"/>
      </w:pPr>
      <w:rPr>
        <w:rFonts w:hint="default"/>
      </w:rPr>
    </w:lvl>
  </w:abstractNum>
  <w:abstractNum w:abstractNumId="22" w15:restartNumberingAfterBreak="0">
    <w:nsid w:val="4731590F"/>
    <w:multiLevelType w:val="hybridMultilevel"/>
    <w:tmpl w:val="DF44F380"/>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3" w15:restartNumberingAfterBreak="0">
    <w:nsid w:val="47641298"/>
    <w:multiLevelType w:val="hybridMultilevel"/>
    <w:tmpl w:val="EE62EDEA"/>
    <w:lvl w:ilvl="0" w:tplc="AA4474DE">
      <w:start w:val="1"/>
      <w:numFmt w:val="decimal"/>
      <w:lvlText w:val="%1."/>
      <w:lvlJc w:val="left"/>
      <w:pPr>
        <w:ind w:left="-207" w:hanging="360"/>
      </w:pPr>
      <w:rPr>
        <w:rFonts w:hint="default"/>
      </w:rPr>
    </w:lvl>
    <w:lvl w:ilvl="1" w:tplc="100C0019" w:tentative="1">
      <w:start w:val="1"/>
      <w:numFmt w:val="lowerLetter"/>
      <w:lvlText w:val="%2."/>
      <w:lvlJc w:val="left"/>
      <w:pPr>
        <w:ind w:left="513" w:hanging="360"/>
      </w:pPr>
    </w:lvl>
    <w:lvl w:ilvl="2" w:tplc="100C001B" w:tentative="1">
      <w:start w:val="1"/>
      <w:numFmt w:val="lowerRoman"/>
      <w:lvlText w:val="%3."/>
      <w:lvlJc w:val="right"/>
      <w:pPr>
        <w:ind w:left="1233" w:hanging="180"/>
      </w:pPr>
    </w:lvl>
    <w:lvl w:ilvl="3" w:tplc="100C000F" w:tentative="1">
      <w:start w:val="1"/>
      <w:numFmt w:val="decimal"/>
      <w:lvlText w:val="%4."/>
      <w:lvlJc w:val="left"/>
      <w:pPr>
        <w:ind w:left="1953" w:hanging="360"/>
      </w:pPr>
    </w:lvl>
    <w:lvl w:ilvl="4" w:tplc="100C0019" w:tentative="1">
      <w:start w:val="1"/>
      <w:numFmt w:val="lowerLetter"/>
      <w:lvlText w:val="%5."/>
      <w:lvlJc w:val="left"/>
      <w:pPr>
        <w:ind w:left="2673" w:hanging="360"/>
      </w:pPr>
    </w:lvl>
    <w:lvl w:ilvl="5" w:tplc="100C001B" w:tentative="1">
      <w:start w:val="1"/>
      <w:numFmt w:val="lowerRoman"/>
      <w:lvlText w:val="%6."/>
      <w:lvlJc w:val="right"/>
      <w:pPr>
        <w:ind w:left="3393" w:hanging="180"/>
      </w:pPr>
    </w:lvl>
    <w:lvl w:ilvl="6" w:tplc="100C000F" w:tentative="1">
      <w:start w:val="1"/>
      <w:numFmt w:val="decimal"/>
      <w:lvlText w:val="%7."/>
      <w:lvlJc w:val="left"/>
      <w:pPr>
        <w:ind w:left="4113" w:hanging="360"/>
      </w:pPr>
    </w:lvl>
    <w:lvl w:ilvl="7" w:tplc="100C0019" w:tentative="1">
      <w:start w:val="1"/>
      <w:numFmt w:val="lowerLetter"/>
      <w:lvlText w:val="%8."/>
      <w:lvlJc w:val="left"/>
      <w:pPr>
        <w:ind w:left="4833" w:hanging="360"/>
      </w:pPr>
    </w:lvl>
    <w:lvl w:ilvl="8" w:tplc="100C001B" w:tentative="1">
      <w:start w:val="1"/>
      <w:numFmt w:val="lowerRoman"/>
      <w:lvlText w:val="%9."/>
      <w:lvlJc w:val="right"/>
      <w:pPr>
        <w:ind w:left="5553" w:hanging="180"/>
      </w:pPr>
    </w:lvl>
  </w:abstractNum>
  <w:abstractNum w:abstractNumId="24" w15:restartNumberingAfterBreak="0">
    <w:nsid w:val="47D03C64"/>
    <w:multiLevelType w:val="hybridMultilevel"/>
    <w:tmpl w:val="FA72B070"/>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25" w15:restartNumberingAfterBreak="0">
    <w:nsid w:val="4A38195F"/>
    <w:multiLevelType w:val="hybridMultilevel"/>
    <w:tmpl w:val="F4B461C2"/>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26" w15:restartNumberingAfterBreak="0">
    <w:nsid w:val="4B8E5715"/>
    <w:multiLevelType w:val="hybridMultilevel"/>
    <w:tmpl w:val="2D06A0D6"/>
    <w:lvl w:ilvl="0" w:tplc="100C0001">
      <w:start w:val="1"/>
      <w:numFmt w:val="bullet"/>
      <w:lvlText w:val=""/>
      <w:lvlJc w:val="left"/>
      <w:pPr>
        <w:ind w:left="720"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4D43498F"/>
    <w:multiLevelType w:val="hybridMultilevel"/>
    <w:tmpl w:val="5D54BF5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4F083537"/>
    <w:multiLevelType w:val="hybridMultilevel"/>
    <w:tmpl w:val="67C8C68E"/>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9" w15:restartNumberingAfterBreak="0">
    <w:nsid w:val="507B3BF7"/>
    <w:multiLevelType w:val="hybridMultilevel"/>
    <w:tmpl w:val="E3B2D08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50E81880"/>
    <w:multiLevelType w:val="hybridMultilevel"/>
    <w:tmpl w:val="3A8217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557A6951"/>
    <w:multiLevelType w:val="hybridMultilevel"/>
    <w:tmpl w:val="33C0DE48"/>
    <w:lvl w:ilvl="0" w:tplc="BA503060">
      <w:start w:val="4"/>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340960"/>
    <w:multiLevelType w:val="hybridMultilevel"/>
    <w:tmpl w:val="02166862"/>
    <w:lvl w:ilvl="0" w:tplc="B588C3CA">
      <w:start w:val="1"/>
      <w:numFmt w:val="decimal"/>
      <w:lvlText w:val="%1."/>
      <w:lvlJc w:val="left"/>
      <w:pPr>
        <w:ind w:left="153" w:hanging="360"/>
      </w:pPr>
    </w:lvl>
    <w:lvl w:ilvl="1" w:tplc="100C0019">
      <w:start w:val="1"/>
      <w:numFmt w:val="lowerLetter"/>
      <w:lvlText w:val="%2."/>
      <w:lvlJc w:val="left"/>
      <w:pPr>
        <w:ind w:left="873" w:hanging="360"/>
      </w:pPr>
    </w:lvl>
    <w:lvl w:ilvl="2" w:tplc="100C001B">
      <w:start w:val="1"/>
      <w:numFmt w:val="lowerRoman"/>
      <w:lvlText w:val="%3."/>
      <w:lvlJc w:val="right"/>
      <w:pPr>
        <w:ind w:left="1593" w:hanging="180"/>
      </w:pPr>
    </w:lvl>
    <w:lvl w:ilvl="3" w:tplc="100C000F">
      <w:start w:val="1"/>
      <w:numFmt w:val="decimal"/>
      <w:lvlText w:val="%4."/>
      <w:lvlJc w:val="left"/>
      <w:pPr>
        <w:ind w:left="2313" w:hanging="360"/>
      </w:pPr>
    </w:lvl>
    <w:lvl w:ilvl="4" w:tplc="100C0019" w:tentative="1">
      <w:start w:val="1"/>
      <w:numFmt w:val="lowerLetter"/>
      <w:lvlText w:val="%5."/>
      <w:lvlJc w:val="left"/>
      <w:pPr>
        <w:ind w:left="3033" w:hanging="360"/>
      </w:pPr>
    </w:lvl>
    <w:lvl w:ilvl="5" w:tplc="100C001B" w:tentative="1">
      <w:start w:val="1"/>
      <w:numFmt w:val="lowerRoman"/>
      <w:lvlText w:val="%6."/>
      <w:lvlJc w:val="right"/>
      <w:pPr>
        <w:ind w:left="3753" w:hanging="180"/>
      </w:pPr>
    </w:lvl>
    <w:lvl w:ilvl="6" w:tplc="100C000F" w:tentative="1">
      <w:start w:val="1"/>
      <w:numFmt w:val="decimal"/>
      <w:lvlText w:val="%7."/>
      <w:lvlJc w:val="left"/>
      <w:pPr>
        <w:ind w:left="4473" w:hanging="360"/>
      </w:pPr>
    </w:lvl>
    <w:lvl w:ilvl="7" w:tplc="100C0019" w:tentative="1">
      <w:start w:val="1"/>
      <w:numFmt w:val="lowerLetter"/>
      <w:lvlText w:val="%8."/>
      <w:lvlJc w:val="left"/>
      <w:pPr>
        <w:ind w:left="5193" w:hanging="360"/>
      </w:pPr>
    </w:lvl>
    <w:lvl w:ilvl="8" w:tplc="100C001B" w:tentative="1">
      <w:start w:val="1"/>
      <w:numFmt w:val="lowerRoman"/>
      <w:lvlText w:val="%9."/>
      <w:lvlJc w:val="right"/>
      <w:pPr>
        <w:ind w:left="5913" w:hanging="180"/>
      </w:pPr>
    </w:lvl>
  </w:abstractNum>
  <w:abstractNum w:abstractNumId="33" w15:restartNumberingAfterBreak="0">
    <w:nsid w:val="58F4427E"/>
    <w:multiLevelType w:val="hybridMultilevel"/>
    <w:tmpl w:val="EA069830"/>
    <w:lvl w:ilvl="0" w:tplc="DB8E8A16">
      <w:start w:val="3"/>
      <w:numFmt w:val="bullet"/>
      <w:lvlText w:val="-"/>
      <w:lvlJc w:val="left"/>
      <w:pPr>
        <w:ind w:left="-207" w:hanging="360"/>
      </w:pPr>
      <w:rPr>
        <w:rFonts w:ascii="Calibri Light" w:eastAsia="MS Mincho" w:hAnsi="Calibri Light" w:cs="Calibri Light" w:hint="default"/>
      </w:rPr>
    </w:lvl>
    <w:lvl w:ilvl="1" w:tplc="100C0003" w:tentative="1">
      <w:start w:val="1"/>
      <w:numFmt w:val="bullet"/>
      <w:lvlText w:val="o"/>
      <w:lvlJc w:val="left"/>
      <w:pPr>
        <w:ind w:left="513" w:hanging="360"/>
      </w:pPr>
      <w:rPr>
        <w:rFonts w:ascii="Courier New" w:hAnsi="Courier New" w:cs="Courier New" w:hint="default"/>
      </w:rPr>
    </w:lvl>
    <w:lvl w:ilvl="2" w:tplc="100C0005" w:tentative="1">
      <w:start w:val="1"/>
      <w:numFmt w:val="bullet"/>
      <w:lvlText w:val=""/>
      <w:lvlJc w:val="left"/>
      <w:pPr>
        <w:ind w:left="1233" w:hanging="360"/>
      </w:pPr>
      <w:rPr>
        <w:rFonts w:ascii="Wingdings" w:hAnsi="Wingdings" w:hint="default"/>
      </w:rPr>
    </w:lvl>
    <w:lvl w:ilvl="3" w:tplc="100C0001" w:tentative="1">
      <w:start w:val="1"/>
      <w:numFmt w:val="bullet"/>
      <w:lvlText w:val=""/>
      <w:lvlJc w:val="left"/>
      <w:pPr>
        <w:ind w:left="1953" w:hanging="360"/>
      </w:pPr>
      <w:rPr>
        <w:rFonts w:ascii="Symbol" w:hAnsi="Symbol" w:hint="default"/>
      </w:rPr>
    </w:lvl>
    <w:lvl w:ilvl="4" w:tplc="100C0003" w:tentative="1">
      <w:start w:val="1"/>
      <w:numFmt w:val="bullet"/>
      <w:lvlText w:val="o"/>
      <w:lvlJc w:val="left"/>
      <w:pPr>
        <w:ind w:left="2673" w:hanging="360"/>
      </w:pPr>
      <w:rPr>
        <w:rFonts w:ascii="Courier New" w:hAnsi="Courier New" w:cs="Courier New" w:hint="default"/>
      </w:rPr>
    </w:lvl>
    <w:lvl w:ilvl="5" w:tplc="100C0005" w:tentative="1">
      <w:start w:val="1"/>
      <w:numFmt w:val="bullet"/>
      <w:lvlText w:val=""/>
      <w:lvlJc w:val="left"/>
      <w:pPr>
        <w:ind w:left="3393" w:hanging="360"/>
      </w:pPr>
      <w:rPr>
        <w:rFonts w:ascii="Wingdings" w:hAnsi="Wingdings" w:hint="default"/>
      </w:rPr>
    </w:lvl>
    <w:lvl w:ilvl="6" w:tplc="100C0001" w:tentative="1">
      <w:start w:val="1"/>
      <w:numFmt w:val="bullet"/>
      <w:lvlText w:val=""/>
      <w:lvlJc w:val="left"/>
      <w:pPr>
        <w:ind w:left="4113" w:hanging="360"/>
      </w:pPr>
      <w:rPr>
        <w:rFonts w:ascii="Symbol" w:hAnsi="Symbol" w:hint="default"/>
      </w:rPr>
    </w:lvl>
    <w:lvl w:ilvl="7" w:tplc="100C0003" w:tentative="1">
      <w:start w:val="1"/>
      <w:numFmt w:val="bullet"/>
      <w:lvlText w:val="o"/>
      <w:lvlJc w:val="left"/>
      <w:pPr>
        <w:ind w:left="4833" w:hanging="360"/>
      </w:pPr>
      <w:rPr>
        <w:rFonts w:ascii="Courier New" w:hAnsi="Courier New" w:cs="Courier New" w:hint="default"/>
      </w:rPr>
    </w:lvl>
    <w:lvl w:ilvl="8" w:tplc="100C0005" w:tentative="1">
      <w:start w:val="1"/>
      <w:numFmt w:val="bullet"/>
      <w:lvlText w:val=""/>
      <w:lvlJc w:val="left"/>
      <w:pPr>
        <w:ind w:left="5553" w:hanging="360"/>
      </w:pPr>
      <w:rPr>
        <w:rFonts w:ascii="Wingdings" w:hAnsi="Wingdings" w:hint="default"/>
      </w:rPr>
    </w:lvl>
  </w:abstractNum>
  <w:abstractNum w:abstractNumId="34" w15:restartNumberingAfterBreak="0">
    <w:nsid w:val="592E7A06"/>
    <w:multiLevelType w:val="hybridMultilevel"/>
    <w:tmpl w:val="F1BAFAE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5C8A7556"/>
    <w:multiLevelType w:val="hybridMultilevel"/>
    <w:tmpl w:val="74E878E8"/>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36" w15:restartNumberingAfterBreak="0">
    <w:nsid w:val="603817A8"/>
    <w:multiLevelType w:val="hybridMultilevel"/>
    <w:tmpl w:val="88A0ED28"/>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37" w15:restartNumberingAfterBreak="0">
    <w:nsid w:val="738218A7"/>
    <w:multiLevelType w:val="hybridMultilevel"/>
    <w:tmpl w:val="550C1C9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8" w15:restartNumberingAfterBreak="0">
    <w:nsid w:val="76C5476A"/>
    <w:multiLevelType w:val="hybridMultilevel"/>
    <w:tmpl w:val="BD62F5C0"/>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39" w15:restartNumberingAfterBreak="0">
    <w:nsid w:val="7E2A6218"/>
    <w:multiLevelType w:val="hybridMultilevel"/>
    <w:tmpl w:val="3730B24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0" w15:restartNumberingAfterBreak="0">
    <w:nsid w:val="7F7918B4"/>
    <w:multiLevelType w:val="hybridMultilevel"/>
    <w:tmpl w:val="B394D78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12"/>
  </w:num>
  <w:num w:numId="4">
    <w:abstractNumId w:val="10"/>
  </w:num>
  <w:num w:numId="5">
    <w:abstractNumId w:val="33"/>
  </w:num>
  <w:num w:numId="6">
    <w:abstractNumId w:val="17"/>
  </w:num>
  <w:num w:numId="7">
    <w:abstractNumId w:val="8"/>
  </w:num>
  <w:num w:numId="8">
    <w:abstractNumId w:val="23"/>
  </w:num>
  <w:num w:numId="9">
    <w:abstractNumId w:val="9"/>
  </w:num>
  <w:num w:numId="10">
    <w:abstractNumId w:val="5"/>
  </w:num>
  <w:num w:numId="11">
    <w:abstractNumId w:val="3"/>
  </w:num>
  <w:num w:numId="12">
    <w:abstractNumId w:val="13"/>
  </w:num>
  <w:num w:numId="13">
    <w:abstractNumId w:val="37"/>
  </w:num>
  <w:num w:numId="14">
    <w:abstractNumId w:val="29"/>
  </w:num>
  <w:num w:numId="15">
    <w:abstractNumId w:val="16"/>
  </w:num>
  <w:num w:numId="16">
    <w:abstractNumId w:val="19"/>
  </w:num>
  <w:num w:numId="17">
    <w:abstractNumId w:val="2"/>
  </w:num>
  <w:num w:numId="18">
    <w:abstractNumId w:val="27"/>
  </w:num>
  <w:num w:numId="19">
    <w:abstractNumId w:val="34"/>
  </w:num>
  <w:num w:numId="20">
    <w:abstractNumId w:val="4"/>
  </w:num>
  <w:num w:numId="21">
    <w:abstractNumId w:val="1"/>
  </w:num>
  <w:num w:numId="22">
    <w:abstractNumId w:val="11"/>
  </w:num>
  <w:num w:numId="23">
    <w:abstractNumId w:val="15"/>
  </w:num>
  <w:num w:numId="24">
    <w:abstractNumId w:val="40"/>
  </w:num>
  <w:num w:numId="25">
    <w:abstractNumId w:val="6"/>
  </w:num>
  <w:num w:numId="26">
    <w:abstractNumId w:val="30"/>
  </w:num>
  <w:num w:numId="27">
    <w:abstractNumId w:val="39"/>
  </w:num>
  <w:num w:numId="28">
    <w:abstractNumId w:val="26"/>
  </w:num>
  <w:num w:numId="29">
    <w:abstractNumId w:val="18"/>
  </w:num>
  <w:num w:numId="30">
    <w:abstractNumId w:val="32"/>
  </w:num>
  <w:num w:numId="31">
    <w:abstractNumId w:val="28"/>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20"/>
  </w:num>
  <w:num w:numId="37">
    <w:abstractNumId w:val="22"/>
  </w:num>
  <w:num w:numId="38">
    <w:abstractNumId w:val="38"/>
  </w:num>
  <w:num w:numId="39">
    <w:abstractNumId w:val="25"/>
  </w:num>
  <w:num w:numId="40">
    <w:abstractNumId w:val="35"/>
  </w:num>
  <w:num w:numId="41">
    <w:abstractNumId w:val="14"/>
  </w:num>
  <w:num w:numId="42">
    <w:abstractNumId w:val="0"/>
  </w:num>
  <w:num w:numId="43">
    <w:abstractNumId w:val="24"/>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7A"/>
    <w:rsid w:val="000114C8"/>
    <w:rsid w:val="00011C23"/>
    <w:rsid w:val="000126B6"/>
    <w:rsid w:val="0001645B"/>
    <w:rsid w:val="000246BB"/>
    <w:rsid w:val="00024A6E"/>
    <w:rsid w:val="00025ADD"/>
    <w:rsid w:val="00032BD1"/>
    <w:rsid w:val="00035767"/>
    <w:rsid w:val="00040DFB"/>
    <w:rsid w:val="00041840"/>
    <w:rsid w:val="000425B1"/>
    <w:rsid w:val="00043AF2"/>
    <w:rsid w:val="000467BE"/>
    <w:rsid w:val="000475E3"/>
    <w:rsid w:val="00052847"/>
    <w:rsid w:val="00052CED"/>
    <w:rsid w:val="000564C4"/>
    <w:rsid w:val="00064155"/>
    <w:rsid w:val="00065C9D"/>
    <w:rsid w:val="00065CA8"/>
    <w:rsid w:val="00071043"/>
    <w:rsid w:val="00071857"/>
    <w:rsid w:val="00082A68"/>
    <w:rsid w:val="0008672F"/>
    <w:rsid w:val="000A5ADA"/>
    <w:rsid w:val="000B46ED"/>
    <w:rsid w:val="000B6BAD"/>
    <w:rsid w:val="000C2B9E"/>
    <w:rsid w:val="000C6028"/>
    <w:rsid w:val="000C7D9C"/>
    <w:rsid w:val="000D198B"/>
    <w:rsid w:val="000D256F"/>
    <w:rsid w:val="000D29FF"/>
    <w:rsid w:val="000D4609"/>
    <w:rsid w:val="000D552E"/>
    <w:rsid w:val="000D755C"/>
    <w:rsid w:val="000E2D0C"/>
    <w:rsid w:val="000E5757"/>
    <w:rsid w:val="000E585E"/>
    <w:rsid w:val="000E6C6B"/>
    <w:rsid w:val="000F2F80"/>
    <w:rsid w:val="000F667E"/>
    <w:rsid w:val="000F7213"/>
    <w:rsid w:val="001118DA"/>
    <w:rsid w:val="0011539E"/>
    <w:rsid w:val="001206CD"/>
    <w:rsid w:val="00122956"/>
    <w:rsid w:val="001242E1"/>
    <w:rsid w:val="0013248A"/>
    <w:rsid w:val="00134227"/>
    <w:rsid w:val="0013772F"/>
    <w:rsid w:val="001410E7"/>
    <w:rsid w:val="001430F6"/>
    <w:rsid w:val="00146362"/>
    <w:rsid w:val="00150A97"/>
    <w:rsid w:val="00155EB2"/>
    <w:rsid w:val="001607B7"/>
    <w:rsid w:val="00171CCB"/>
    <w:rsid w:val="001739CA"/>
    <w:rsid w:val="00173A96"/>
    <w:rsid w:val="001801F7"/>
    <w:rsid w:val="00181E86"/>
    <w:rsid w:val="00190EA0"/>
    <w:rsid w:val="00191CEE"/>
    <w:rsid w:val="001A2257"/>
    <w:rsid w:val="001A4FBA"/>
    <w:rsid w:val="001A7D90"/>
    <w:rsid w:val="001B280D"/>
    <w:rsid w:val="001B717E"/>
    <w:rsid w:val="001C2FF8"/>
    <w:rsid w:val="001C53B4"/>
    <w:rsid w:val="001D03FE"/>
    <w:rsid w:val="001D0E72"/>
    <w:rsid w:val="001D1AAF"/>
    <w:rsid w:val="001D4D28"/>
    <w:rsid w:val="001D5373"/>
    <w:rsid w:val="001D65D2"/>
    <w:rsid w:val="001E364E"/>
    <w:rsid w:val="001F00DB"/>
    <w:rsid w:val="001F0A73"/>
    <w:rsid w:val="001F1DF3"/>
    <w:rsid w:val="001F3A01"/>
    <w:rsid w:val="001F4FAE"/>
    <w:rsid w:val="001F7CD1"/>
    <w:rsid w:val="002041F0"/>
    <w:rsid w:val="002070A5"/>
    <w:rsid w:val="00210024"/>
    <w:rsid w:val="00210939"/>
    <w:rsid w:val="00213E39"/>
    <w:rsid w:val="00217CFF"/>
    <w:rsid w:val="002206E1"/>
    <w:rsid w:val="00221A18"/>
    <w:rsid w:val="00227A56"/>
    <w:rsid w:val="00230DFE"/>
    <w:rsid w:val="00230F20"/>
    <w:rsid w:val="0023507C"/>
    <w:rsid w:val="00243667"/>
    <w:rsid w:val="00245ECB"/>
    <w:rsid w:val="002507CB"/>
    <w:rsid w:val="00251BB4"/>
    <w:rsid w:val="00255598"/>
    <w:rsid w:val="00256E50"/>
    <w:rsid w:val="00267B16"/>
    <w:rsid w:val="00271B8A"/>
    <w:rsid w:val="002736E7"/>
    <w:rsid w:val="002758B7"/>
    <w:rsid w:val="002764CC"/>
    <w:rsid w:val="002905D2"/>
    <w:rsid w:val="0029433B"/>
    <w:rsid w:val="00295CE1"/>
    <w:rsid w:val="002A13FB"/>
    <w:rsid w:val="002A6BA9"/>
    <w:rsid w:val="002A6DC6"/>
    <w:rsid w:val="002A76BD"/>
    <w:rsid w:val="002B057F"/>
    <w:rsid w:val="002B05CF"/>
    <w:rsid w:val="002B15A7"/>
    <w:rsid w:val="002B4DDF"/>
    <w:rsid w:val="002C36E3"/>
    <w:rsid w:val="002C551D"/>
    <w:rsid w:val="002C74EB"/>
    <w:rsid w:val="002D0FD6"/>
    <w:rsid w:val="002D7630"/>
    <w:rsid w:val="002E2314"/>
    <w:rsid w:val="002E38BC"/>
    <w:rsid w:val="002F4220"/>
    <w:rsid w:val="002F64F3"/>
    <w:rsid w:val="003025F4"/>
    <w:rsid w:val="00303437"/>
    <w:rsid w:val="0030384B"/>
    <w:rsid w:val="00316726"/>
    <w:rsid w:val="00326298"/>
    <w:rsid w:val="003308A7"/>
    <w:rsid w:val="00330BD6"/>
    <w:rsid w:val="00342C68"/>
    <w:rsid w:val="00345D7B"/>
    <w:rsid w:val="003462B4"/>
    <w:rsid w:val="003522B1"/>
    <w:rsid w:val="00361015"/>
    <w:rsid w:val="00361498"/>
    <w:rsid w:val="00364CB9"/>
    <w:rsid w:val="00370EFC"/>
    <w:rsid w:val="00372163"/>
    <w:rsid w:val="00372306"/>
    <w:rsid w:val="00374C69"/>
    <w:rsid w:val="00376793"/>
    <w:rsid w:val="003817E3"/>
    <w:rsid w:val="00382983"/>
    <w:rsid w:val="00383ADC"/>
    <w:rsid w:val="00383BAD"/>
    <w:rsid w:val="00385B1C"/>
    <w:rsid w:val="003A0C39"/>
    <w:rsid w:val="003A349F"/>
    <w:rsid w:val="003B16B6"/>
    <w:rsid w:val="003B20E1"/>
    <w:rsid w:val="003C2447"/>
    <w:rsid w:val="003C3041"/>
    <w:rsid w:val="003C334A"/>
    <w:rsid w:val="003D1500"/>
    <w:rsid w:val="003D3C89"/>
    <w:rsid w:val="003D5374"/>
    <w:rsid w:val="003D54CD"/>
    <w:rsid w:val="003E11A0"/>
    <w:rsid w:val="003E5CB3"/>
    <w:rsid w:val="003F005C"/>
    <w:rsid w:val="003F0AF9"/>
    <w:rsid w:val="003F11C4"/>
    <w:rsid w:val="003F5652"/>
    <w:rsid w:val="003F6B91"/>
    <w:rsid w:val="003F7F98"/>
    <w:rsid w:val="00400C26"/>
    <w:rsid w:val="00414FDB"/>
    <w:rsid w:val="004179DB"/>
    <w:rsid w:val="00420DD8"/>
    <w:rsid w:val="00422759"/>
    <w:rsid w:val="00423238"/>
    <w:rsid w:val="00423908"/>
    <w:rsid w:val="0043155D"/>
    <w:rsid w:val="004412A7"/>
    <w:rsid w:val="00447E1F"/>
    <w:rsid w:val="00456238"/>
    <w:rsid w:val="00457A72"/>
    <w:rsid w:val="004662F6"/>
    <w:rsid w:val="00472588"/>
    <w:rsid w:val="00475A78"/>
    <w:rsid w:val="004805B3"/>
    <w:rsid w:val="00481E1C"/>
    <w:rsid w:val="0048362B"/>
    <w:rsid w:val="00490C45"/>
    <w:rsid w:val="00491415"/>
    <w:rsid w:val="004A0797"/>
    <w:rsid w:val="004A6814"/>
    <w:rsid w:val="004B15F7"/>
    <w:rsid w:val="004D1816"/>
    <w:rsid w:val="004D2877"/>
    <w:rsid w:val="004D3FCD"/>
    <w:rsid w:val="004D552F"/>
    <w:rsid w:val="004E307F"/>
    <w:rsid w:val="004E3287"/>
    <w:rsid w:val="004E3347"/>
    <w:rsid w:val="004E3A64"/>
    <w:rsid w:val="004F0359"/>
    <w:rsid w:val="004F32DF"/>
    <w:rsid w:val="004F4726"/>
    <w:rsid w:val="004F5E2F"/>
    <w:rsid w:val="004F7670"/>
    <w:rsid w:val="00502773"/>
    <w:rsid w:val="00503FCF"/>
    <w:rsid w:val="0050429C"/>
    <w:rsid w:val="00507709"/>
    <w:rsid w:val="00510203"/>
    <w:rsid w:val="00514467"/>
    <w:rsid w:val="00516BC4"/>
    <w:rsid w:val="005213CF"/>
    <w:rsid w:val="00524C91"/>
    <w:rsid w:val="00540799"/>
    <w:rsid w:val="00544692"/>
    <w:rsid w:val="00545133"/>
    <w:rsid w:val="00545799"/>
    <w:rsid w:val="005519DE"/>
    <w:rsid w:val="00553318"/>
    <w:rsid w:val="00556147"/>
    <w:rsid w:val="0055665D"/>
    <w:rsid w:val="00561D42"/>
    <w:rsid w:val="00562320"/>
    <w:rsid w:val="005623D2"/>
    <w:rsid w:val="0056527A"/>
    <w:rsid w:val="005677F2"/>
    <w:rsid w:val="005705CE"/>
    <w:rsid w:val="0057104C"/>
    <w:rsid w:val="00575FC4"/>
    <w:rsid w:val="0058752A"/>
    <w:rsid w:val="00597492"/>
    <w:rsid w:val="005B04DB"/>
    <w:rsid w:val="005B2846"/>
    <w:rsid w:val="005B5459"/>
    <w:rsid w:val="005C2BBE"/>
    <w:rsid w:val="005C583E"/>
    <w:rsid w:val="005C72B7"/>
    <w:rsid w:val="005D24B2"/>
    <w:rsid w:val="005D404D"/>
    <w:rsid w:val="005D5638"/>
    <w:rsid w:val="005D6B50"/>
    <w:rsid w:val="005D724B"/>
    <w:rsid w:val="005E45BE"/>
    <w:rsid w:val="005E5163"/>
    <w:rsid w:val="005F0AA7"/>
    <w:rsid w:val="005F29C3"/>
    <w:rsid w:val="005F52C0"/>
    <w:rsid w:val="005F5A3D"/>
    <w:rsid w:val="005F7620"/>
    <w:rsid w:val="005F767A"/>
    <w:rsid w:val="00604C58"/>
    <w:rsid w:val="00613F07"/>
    <w:rsid w:val="00624845"/>
    <w:rsid w:val="00627320"/>
    <w:rsid w:val="00631BEC"/>
    <w:rsid w:val="006339DB"/>
    <w:rsid w:val="0063437E"/>
    <w:rsid w:val="00644C1D"/>
    <w:rsid w:val="006613AE"/>
    <w:rsid w:val="006628CE"/>
    <w:rsid w:val="00665441"/>
    <w:rsid w:val="00667653"/>
    <w:rsid w:val="006826C7"/>
    <w:rsid w:val="00686CCD"/>
    <w:rsid w:val="0069149E"/>
    <w:rsid w:val="0069546E"/>
    <w:rsid w:val="00696C3B"/>
    <w:rsid w:val="006970C8"/>
    <w:rsid w:val="0069771E"/>
    <w:rsid w:val="006A20D0"/>
    <w:rsid w:val="006A4C43"/>
    <w:rsid w:val="006B0F1C"/>
    <w:rsid w:val="006B2F39"/>
    <w:rsid w:val="006B40D3"/>
    <w:rsid w:val="006B77BF"/>
    <w:rsid w:val="006C2D20"/>
    <w:rsid w:val="006C35B6"/>
    <w:rsid w:val="006C4ACA"/>
    <w:rsid w:val="006C688F"/>
    <w:rsid w:val="006C6FBA"/>
    <w:rsid w:val="006D0DDD"/>
    <w:rsid w:val="006D7829"/>
    <w:rsid w:val="006E58E1"/>
    <w:rsid w:val="006E5F0C"/>
    <w:rsid w:val="006F22A8"/>
    <w:rsid w:val="006F38C3"/>
    <w:rsid w:val="006F3D3D"/>
    <w:rsid w:val="006F5A89"/>
    <w:rsid w:val="006F60B2"/>
    <w:rsid w:val="006F751C"/>
    <w:rsid w:val="006F77CC"/>
    <w:rsid w:val="0070260D"/>
    <w:rsid w:val="007066A1"/>
    <w:rsid w:val="0071254F"/>
    <w:rsid w:val="007132F5"/>
    <w:rsid w:val="00713DAD"/>
    <w:rsid w:val="00715836"/>
    <w:rsid w:val="00716621"/>
    <w:rsid w:val="0071734F"/>
    <w:rsid w:val="007205DC"/>
    <w:rsid w:val="00721DA1"/>
    <w:rsid w:val="00723FAA"/>
    <w:rsid w:val="007249C5"/>
    <w:rsid w:val="00724CE8"/>
    <w:rsid w:val="00732CF8"/>
    <w:rsid w:val="00733C6C"/>
    <w:rsid w:val="007344B0"/>
    <w:rsid w:val="00742AF1"/>
    <w:rsid w:val="007506E4"/>
    <w:rsid w:val="00756FFD"/>
    <w:rsid w:val="00757241"/>
    <w:rsid w:val="0076085A"/>
    <w:rsid w:val="00763AFD"/>
    <w:rsid w:val="00772616"/>
    <w:rsid w:val="0077314C"/>
    <w:rsid w:val="00781630"/>
    <w:rsid w:val="00784642"/>
    <w:rsid w:val="00785466"/>
    <w:rsid w:val="0078608A"/>
    <w:rsid w:val="00792A8C"/>
    <w:rsid w:val="00796FA9"/>
    <w:rsid w:val="00797080"/>
    <w:rsid w:val="007A03F5"/>
    <w:rsid w:val="007A11E2"/>
    <w:rsid w:val="007B1B5D"/>
    <w:rsid w:val="007B2544"/>
    <w:rsid w:val="007B496A"/>
    <w:rsid w:val="007C53B0"/>
    <w:rsid w:val="007C6CC7"/>
    <w:rsid w:val="007D3A11"/>
    <w:rsid w:val="007D4E21"/>
    <w:rsid w:val="007E33CD"/>
    <w:rsid w:val="007F54FE"/>
    <w:rsid w:val="007F72AF"/>
    <w:rsid w:val="00800563"/>
    <w:rsid w:val="008020FA"/>
    <w:rsid w:val="0080631E"/>
    <w:rsid w:val="0081081A"/>
    <w:rsid w:val="008118B6"/>
    <w:rsid w:val="00813814"/>
    <w:rsid w:val="00825F79"/>
    <w:rsid w:val="00831F13"/>
    <w:rsid w:val="00831F4E"/>
    <w:rsid w:val="00833C3C"/>
    <w:rsid w:val="0083499C"/>
    <w:rsid w:val="00835A33"/>
    <w:rsid w:val="008363F4"/>
    <w:rsid w:val="00842EB4"/>
    <w:rsid w:val="00844857"/>
    <w:rsid w:val="00846348"/>
    <w:rsid w:val="00853EB1"/>
    <w:rsid w:val="00857D6C"/>
    <w:rsid w:val="008764E2"/>
    <w:rsid w:val="00891317"/>
    <w:rsid w:val="00892117"/>
    <w:rsid w:val="008A1D55"/>
    <w:rsid w:val="008A28CC"/>
    <w:rsid w:val="008A5229"/>
    <w:rsid w:val="008A600F"/>
    <w:rsid w:val="008A6F3E"/>
    <w:rsid w:val="008B2AB8"/>
    <w:rsid w:val="008B4C3E"/>
    <w:rsid w:val="008B68D4"/>
    <w:rsid w:val="008C01F1"/>
    <w:rsid w:val="008C030C"/>
    <w:rsid w:val="008C2095"/>
    <w:rsid w:val="008C7FE6"/>
    <w:rsid w:val="008D2F17"/>
    <w:rsid w:val="008D41DF"/>
    <w:rsid w:val="008D426A"/>
    <w:rsid w:val="00900B4E"/>
    <w:rsid w:val="009043CB"/>
    <w:rsid w:val="00910A09"/>
    <w:rsid w:val="00910BF3"/>
    <w:rsid w:val="009131AD"/>
    <w:rsid w:val="0092095D"/>
    <w:rsid w:val="00927888"/>
    <w:rsid w:val="009307BB"/>
    <w:rsid w:val="00937CAD"/>
    <w:rsid w:val="00944571"/>
    <w:rsid w:val="009514E7"/>
    <w:rsid w:val="00953AAE"/>
    <w:rsid w:val="00955F4F"/>
    <w:rsid w:val="00957061"/>
    <w:rsid w:val="0095722B"/>
    <w:rsid w:val="00964600"/>
    <w:rsid w:val="00977344"/>
    <w:rsid w:val="00977B20"/>
    <w:rsid w:val="00981E2D"/>
    <w:rsid w:val="00982350"/>
    <w:rsid w:val="009823FC"/>
    <w:rsid w:val="00984C05"/>
    <w:rsid w:val="0099013E"/>
    <w:rsid w:val="00994EB9"/>
    <w:rsid w:val="00997EC7"/>
    <w:rsid w:val="009A3A3D"/>
    <w:rsid w:val="009B1C69"/>
    <w:rsid w:val="009B3E70"/>
    <w:rsid w:val="009B763A"/>
    <w:rsid w:val="009B7835"/>
    <w:rsid w:val="009C0C47"/>
    <w:rsid w:val="009C2C43"/>
    <w:rsid w:val="009C6854"/>
    <w:rsid w:val="009C7413"/>
    <w:rsid w:val="009D0A03"/>
    <w:rsid w:val="009D1CB4"/>
    <w:rsid w:val="009D45AD"/>
    <w:rsid w:val="009D62A2"/>
    <w:rsid w:val="009E6167"/>
    <w:rsid w:val="009E772F"/>
    <w:rsid w:val="00A16A9F"/>
    <w:rsid w:val="00A16ED6"/>
    <w:rsid w:val="00A30238"/>
    <w:rsid w:val="00A32357"/>
    <w:rsid w:val="00A33888"/>
    <w:rsid w:val="00A46D8F"/>
    <w:rsid w:val="00A53292"/>
    <w:rsid w:val="00A55C00"/>
    <w:rsid w:val="00A57F40"/>
    <w:rsid w:val="00A67374"/>
    <w:rsid w:val="00A7132C"/>
    <w:rsid w:val="00A7258E"/>
    <w:rsid w:val="00A804F9"/>
    <w:rsid w:val="00A81F8F"/>
    <w:rsid w:val="00A904EA"/>
    <w:rsid w:val="00A9135A"/>
    <w:rsid w:val="00A928B4"/>
    <w:rsid w:val="00A94316"/>
    <w:rsid w:val="00A95519"/>
    <w:rsid w:val="00AA3441"/>
    <w:rsid w:val="00AA5D80"/>
    <w:rsid w:val="00AA6205"/>
    <w:rsid w:val="00AA7446"/>
    <w:rsid w:val="00AB1BB9"/>
    <w:rsid w:val="00AC0125"/>
    <w:rsid w:val="00AC1C67"/>
    <w:rsid w:val="00AC3C46"/>
    <w:rsid w:val="00AC4468"/>
    <w:rsid w:val="00AC6D87"/>
    <w:rsid w:val="00AD53CB"/>
    <w:rsid w:val="00AD5925"/>
    <w:rsid w:val="00AD7DE5"/>
    <w:rsid w:val="00AF35FA"/>
    <w:rsid w:val="00AF4588"/>
    <w:rsid w:val="00AF52E6"/>
    <w:rsid w:val="00AF5982"/>
    <w:rsid w:val="00AF688B"/>
    <w:rsid w:val="00B01545"/>
    <w:rsid w:val="00B037AF"/>
    <w:rsid w:val="00B06C8A"/>
    <w:rsid w:val="00B162F1"/>
    <w:rsid w:val="00B16801"/>
    <w:rsid w:val="00B171B0"/>
    <w:rsid w:val="00B220EE"/>
    <w:rsid w:val="00B223A7"/>
    <w:rsid w:val="00B23873"/>
    <w:rsid w:val="00B243F4"/>
    <w:rsid w:val="00B25ABB"/>
    <w:rsid w:val="00B3424C"/>
    <w:rsid w:val="00B44019"/>
    <w:rsid w:val="00B45289"/>
    <w:rsid w:val="00B5235A"/>
    <w:rsid w:val="00B54238"/>
    <w:rsid w:val="00B558E4"/>
    <w:rsid w:val="00B56AE6"/>
    <w:rsid w:val="00B57139"/>
    <w:rsid w:val="00B60143"/>
    <w:rsid w:val="00B717DE"/>
    <w:rsid w:val="00B722D4"/>
    <w:rsid w:val="00B8024E"/>
    <w:rsid w:val="00B8317C"/>
    <w:rsid w:val="00B83AEF"/>
    <w:rsid w:val="00B8752E"/>
    <w:rsid w:val="00B87A8C"/>
    <w:rsid w:val="00B9047C"/>
    <w:rsid w:val="00B916CE"/>
    <w:rsid w:val="00B94A07"/>
    <w:rsid w:val="00B9720D"/>
    <w:rsid w:val="00BA1D8B"/>
    <w:rsid w:val="00BA67CA"/>
    <w:rsid w:val="00BB2E1D"/>
    <w:rsid w:val="00BB319B"/>
    <w:rsid w:val="00BB4EA0"/>
    <w:rsid w:val="00BB568A"/>
    <w:rsid w:val="00BC012C"/>
    <w:rsid w:val="00BC1652"/>
    <w:rsid w:val="00BD127C"/>
    <w:rsid w:val="00BD2F72"/>
    <w:rsid w:val="00BE411E"/>
    <w:rsid w:val="00BF2E04"/>
    <w:rsid w:val="00BF6341"/>
    <w:rsid w:val="00BF79CE"/>
    <w:rsid w:val="00C03571"/>
    <w:rsid w:val="00C14599"/>
    <w:rsid w:val="00C1595A"/>
    <w:rsid w:val="00C17404"/>
    <w:rsid w:val="00C17474"/>
    <w:rsid w:val="00C20BD2"/>
    <w:rsid w:val="00C2239B"/>
    <w:rsid w:val="00C2451D"/>
    <w:rsid w:val="00C24646"/>
    <w:rsid w:val="00C24C7F"/>
    <w:rsid w:val="00C31785"/>
    <w:rsid w:val="00C3400E"/>
    <w:rsid w:val="00C440AF"/>
    <w:rsid w:val="00C51880"/>
    <w:rsid w:val="00C5198C"/>
    <w:rsid w:val="00C536DB"/>
    <w:rsid w:val="00C55200"/>
    <w:rsid w:val="00C578E3"/>
    <w:rsid w:val="00C617DB"/>
    <w:rsid w:val="00C62ECD"/>
    <w:rsid w:val="00C70571"/>
    <w:rsid w:val="00C72131"/>
    <w:rsid w:val="00C748A7"/>
    <w:rsid w:val="00C7759B"/>
    <w:rsid w:val="00C83D85"/>
    <w:rsid w:val="00C91BAA"/>
    <w:rsid w:val="00C95B27"/>
    <w:rsid w:val="00C96207"/>
    <w:rsid w:val="00CA0F6F"/>
    <w:rsid w:val="00CA15D7"/>
    <w:rsid w:val="00CC49DA"/>
    <w:rsid w:val="00CC7A21"/>
    <w:rsid w:val="00CD0B91"/>
    <w:rsid w:val="00CD2913"/>
    <w:rsid w:val="00CD3611"/>
    <w:rsid w:val="00CD5A06"/>
    <w:rsid w:val="00CD6E2D"/>
    <w:rsid w:val="00CD72CF"/>
    <w:rsid w:val="00CE45EC"/>
    <w:rsid w:val="00CF2711"/>
    <w:rsid w:val="00CF290E"/>
    <w:rsid w:val="00CF7D08"/>
    <w:rsid w:val="00D03503"/>
    <w:rsid w:val="00D03793"/>
    <w:rsid w:val="00D057D7"/>
    <w:rsid w:val="00D06898"/>
    <w:rsid w:val="00D06955"/>
    <w:rsid w:val="00D07A19"/>
    <w:rsid w:val="00D07F23"/>
    <w:rsid w:val="00D10681"/>
    <w:rsid w:val="00D10E00"/>
    <w:rsid w:val="00D23013"/>
    <w:rsid w:val="00D26E84"/>
    <w:rsid w:val="00D308BE"/>
    <w:rsid w:val="00D34A3E"/>
    <w:rsid w:val="00D35A09"/>
    <w:rsid w:val="00D35E70"/>
    <w:rsid w:val="00D36491"/>
    <w:rsid w:val="00D37991"/>
    <w:rsid w:val="00D40529"/>
    <w:rsid w:val="00D4113A"/>
    <w:rsid w:val="00D504A5"/>
    <w:rsid w:val="00D523F4"/>
    <w:rsid w:val="00D55E77"/>
    <w:rsid w:val="00D57005"/>
    <w:rsid w:val="00D60C3E"/>
    <w:rsid w:val="00D6470E"/>
    <w:rsid w:val="00D74DDF"/>
    <w:rsid w:val="00D82E93"/>
    <w:rsid w:val="00D844F2"/>
    <w:rsid w:val="00D84FD2"/>
    <w:rsid w:val="00D90075"/>
    <w:rsid w:val="00D9194E"/>
    <w:rsid w:val="00D94F3B"/>
    <w:rsid w:val="00D96221"/>
    <w:rsid w:val="00D96B14"/>
    <w:rsid w:val="00D96F3A"/>
    <w:rsid w:val="00DA34EA"/>
    <w:rsid w:val="00DA4360"/>
    <w:rsid w:val="00DB29ED"/>
    <w:rsid w:val="00DC2704"/>
    <w:rsid w:val="00DC4306"/>
    <w:rsid w:val="00DC4B98"/>
    <w:rsid w:val="00DC5031"/>
    <w:rsid w:val="00DC5A9D"/>
    <w:rsid w:val="00DC7362"/>
    <w:rsid w:val="00DD22B6"/>
    <w:rsid w:val="00DE220C"/>
    <w:rsid w:val="00DE57B3"/>
    <w:rsid w:val="00DF2C1D"/>
    <w:rsid w:val="00E05593"/>
    <w:rsid w:val="00E05ADE"/>
    <w:rsid w:val="00E067CC"/>
    <w:rsid w:val="00E0744F"/>
    <w:rsid w:val="00E123EE"/>
    <w:rsid w:val="00E12D5E"/>
    <w:rsid w:val="00E12F7D"/>
    <w:rsid w:val="00E32DEF"/>
    <w:rsid w:val="00E3421C"/>
    <w:rsid w:val="00E42450"/>
    <w:rsid w:val="00E511B5"/>
    <w:rsid w:val="00E52BA9"/>
    <w:rsid w:val="00E53D55"/>
    <w:rsid w:val="00E57123"/>
    <w:rsid w:val="00E57AC7"/>
    <w:rsid w:val="00E60299"/>
    <w:rsid w:val="00E61D67"/>
    <w:rsid w:val="00E62E3B"/>
    <w:rsid w:val="00E63CE6"/>
    <w:rsid w:val="00E65C00"/>
    <w:rsid w:val="00E66771"/>
    <w:rsid w:val="00E678F5"/>
    <w:rsid w:val="00E72FC7"/>
    <w:rsid w:val="00E866A1"/>
    <w:rsid w:val="00E9084E"/>
    <w:rsid w:val="00E911FF"/>
    <w:rsid w:val="00E916B3"/>
    <w:rsid w:val="00EA2280"/>
    <w:rsid w:val="00EC2E18"/>
    <w:rsid w:val="00EC38E0"/>
    <w:rsid w:val="00EC6353"/>
    <w:rsid w:val="00ED0715"/>
    <w:rsid w:val="00ED34FC"/>
    <w:rsid w:val="00ED3ED6"/>
    <w:rsid w:val="00EE3D9F"/>
    <w:rsid w:val="00EF0B14"/>
    <w:rsid w:val="00EF3B62"/>
    <w:rsid w:val="00EF7B10"/>
    <w:rsid w:val="00F02363"/>
    <w:rsid w:val="00F023DF"/>
    <w:rsid w:val="00F03419"/>
    <w:rsid w:val="00F064D6"/>
    <w:rsid w:val="00F06AEA"/>
    <w:rsid w:val="00F06C0B"/>
    <w:rsid w:val="00F06E3F"/>
    <w:rsid w:val="00F10858"/>
    <w:rsid w:val="00F17991"/>
    <w:rsid w:val="00F22927"/>
    <w:rsid w:val="00F2400A"/>
    <w:rsid w:val="00F32397"/>
    <w:rsid w:val="00F326AC"/>
    <w:rsid w:val="00F3428D"/>
    <w:rsid w:val="00F41EAC"/>
    <w:rsid w:val="00F42CDA"/>
    <w:rsid w:val="00F53CAC"/>
    <w:rsid w:val="00F611AF"/>
    <w:rsid w:val="00F64F0E"/>
    <w:rsid w:val="00F6561D"/>
    <w:rsid w:val="00F67065"/>
    <w:rsid w:val="00F67610"/>
    <w:rsid w:val="00F67730"/>
    <w:rsid w:val="00F705B7"/>
    <w:rsid w:val="00F70BA5"/>
    <w:rsid w:val="00F7150C"/>
    <w:rsid w:val="00F730A8"/>
    <w:rsid w:val="00F774E8"/>
    <w:rsid w:val="00F92634"/>
    <w:rsid w:val="00F929FA"/>
    <w:rsid w:val="00F948F4"/>
    <w:rsid w:val="00F96C47"/>
    <w:rsid w:val="00FA709F"/>
    <w:rsid w:val="00FA7276"/>
    <w:rsid w:val="00FA7B50"/>
    <w:rsid w:val="00FB1A88"/>
    <w:rsid w:val="00FB2956"/>
    <w:rsid w:val="00FB4188"/>
    <w:rsid w:val="00FC152B"/>
    <w:rsid w:val="00FC1DC3"/>
    <w:rsid w:val="00FD3B89"/>
    <w:rsid w:val="00FD610B"/>
    <w:rsid w:val="00FE09F4"/>
    <w:rsid w:val="00FE7EB8"/>
    <w:rsid w:val="00FF1B2E"/>
    <w:rsid w:val="00FF3EA0"/>
    <w:rsid w:val="00FF4EF6"/>
    <w:rsid w:val="26A874D0"/>
  </w:rsids>
  <m:mathPr>
    <m:mathFont m:val="Cambria Math"/>
    <m:brkBin m:val="before"/>
    <m:brkBinSub m:val="--"/>
    <m:smallFrac/>
    <m:dispDef/>
    <m:lMargin m:val="0"/>
    <m:rMargin m:val="0"/>
    <m:defJc m:val="centerGroup"/>
    <m:wrapRight/>
    <m:intLim m:val="subSup"/>
    <m:naryLim m:val="subSup"/>
  </m:mathPr>
  <w:themeFontLang w:val="fr-CH"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F729D0"/>
  <w15:docId w15:val="{587E26DC-DD3D-4CCA-A526-767A42C9C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419"/>
    <w:pPr>
      <w:spacing w:before="40" w:after="80"/>
      <w:ind w:left="-567"/>
      <w:jc w:val="both"/>
    </w:pPr>
    <w:rPr>
      <w:rFonts w:asciiTheme="minorHAnsi" w:hAnsiTheme="minorHAnsi"/>
      <w:sz w:val="22"/>
      <w:szCs w:val="24"/>
      <w:lang w:eastAsia="ja-JP"/>
    </w:rPr>
  </w:style>
  <w:style w:type="paragraph" w:styleId="Heading1">
    <w:name w:val="heading 1"/>
    <w:aliases w:val="GTR Titre"/>
    <w:basedOn w:val="Normal"/>
    <w:next w:val="Normal"/>
    <w:link w:val="Heading1Char"/>
    <w:uiPriority w:val="9"/>
    <w:qFormat/>
    <w:rsid w:val="00846348"/>
    <w:pPr>
      <w:jc w:val="left"/>
      <w:outlineLvl w:val="0"/>
    </w:pPr>
    <w:rPr>
      <w:rFonts w:ascii="Calibri" w:hAnsi="Calibri"/>
      <w:b/>
      <w:color w:val="0090D4"/>
      <w:sz w:val="48"/>
      <w:szCs w:val="48"/>
      <w:lang w:val="en-GB"/>
    </w:rPr>
  </w:style>
  <w:style w:type="paragraph" w:styleId="Heading2">
    <w:name w:val="heading 2"/>
    <w:aliases w:val="GTR 2"/>
    <w:basedOn w:val="Normal"/>
    <w:next w:val="Normal"/>
    <w:link w:val="Heading2Char"/>
    <w:uiPriority w:val="9"/>
    <w:qFormat/>
    <w:rsid w:val="00723FAA"/>
    <w:pPr>
      <w:numPr>
        <w:numId w:val="2"/>
      </w:numPr>
      <w:pBdr>
        <w:bottom w:val="single" w:sz="18" w:space="1" w:color="2E74B5" w:themeColor="accent1" w:themeShade="BF"/>
      </w:pBdr>
      <w:shd w:val="clear" w:color="auto" w:fill="DEEAF6" w:themeFill="accent1" w:themeFillTint="33"/>
      <w:spacing w:before="420"/>
      <w:outlineLvl w:val="1"/>
    </w:pPr>
    <w:rPr>
      <w:rFonts w:ascii="Calibri" w:hAnsi="Calibri"/>
      <w:b/>
      <w:color w:val="1B99D6"/>
      <w:sz w:val="32"/>
    </w:rPr>
  </w:style>
  <w:style w:type="paragraph" w:styleId="Heading3">
    <w:name w:val="heading 3"/>
    <w:aliases w:val="GTR 3"/>
    <w:basedOn w:val="MediumGrid1-Accent21"/>
    <w:next w:val="Normal"/>
    <w:link w:val="Heading3Char"/>
    <w:uiPriority w:val="9"/>
    <w:qFormat/>
    <w:rsid w:val="00BB319B"/>
    <w:pPr>
      <w:numPr>
        <w:ilvl w:val="1"/>
        <w:numId w:val="2"/>
      </w:numPr>
      <w:spacing w:before="200" w:after="120" w:line="360" w:lineRule="atLeast"/>
      <w:outlineLvl w:val="2"/>
    </w:pPr>
    <w:rPr>
      <w:rFonts w:asciiTheme="majorHAnsi" w:hAnsiTheme="majorHAnsi"/>
      <w:b/>
      <w:color w:val="1B99D6"/>
      <w:sz w:val="28"/>
    </w:rPr>
  </w:style>
  <w:style w:type="paragraph" w:styleId="Heading4">
    <w:name w:val="heading 4"/>
    <w:basedOn w:val="Normal"/>
    <w:next w:val="Normal"/>
    <w:link w:val="Heading4Char"/>
    <w:uiPriority w:val="9"/>
    <w:unhideWhenUsed/>
    <w:qFormat/>
    <w:rsid w:val="00723FAA"/>
    <w:pPr>
      <w:keepNext/>
      <w:keepLines/>
      <w:numPr>
        <w:ilvl w:val="2"/>
        <w:numId w:val="2"/>
      </w:numPr>
      <w:spacing w:before="240" w:after="60"/>
      <w:outlineLvl w:val="3"/>
    </w:pPr>
    <w:rPr>
      <w:rFonts w:asciiTheme="majorHAnsi" w:eastAsiaTheme="majorEastAsia" w:hAnsiTheme="majorHAnsi" w:cstheme="majorBidi"/>
      <w:iCs/>
      <w:color w:val="2E74B5" w:themeColor="accent1" w:themeShade="BF"/>
      <w:sz w:val="26"/>
    </w:rPr>
  </w:style>
  <w:style w:type="paragraph" w:styleId="Heading5">
    <w:name w:val="heading 5"/>
    <w:basedOn w:val="Normal"/>
    <w:next w:val="Normal"/>
    <w:link w:val="Heading5Char"/>
    <w:uiPriority w:val="9"/>
    <w:unhideWhenUsed/>
    <w:qFormat/>
    <w:rsid w:val="00545799"/>
    <w:pPr>
      <w:keepNext/>
      <w:keepLines/>
      <w:spacing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45799"/>
    <w:pPr>
      <w:keepNext/>
      <w:keepLines/>
      <w:spacing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4227"/>
    <w:rPr>
      <w:rFonts w:ascii="Lucida Grande" w:hAnsi="Lucida Grande" w:cs="Lucida Grande"/>
      <w:sz w:val="18"/>
      <w:szCs w:val="18"/>
    </w:rPr>
  </w:style>
  <w:style w:type="character" w:customStyle="1" w:styleId="BalloonTextChar">
    <w:name w:val="Balloon Text Char"/>
    <w:link w:val="BalloonText"/>
    <w:uiPriority w:val="99"/>
    <w:semiHidden/>
    <w:rsid w:val="00134227"/>
    <w:rPr>
      <w:rFonts w:ascii="Lucida Grande" w:hAnsi="Lucida Grande" w:cs="Lucida Grande"/>
      <w:sz w:val="18"/>
      <w:szCs w:val="18"/>
    </w:rPr>
  </w:style>
  <w:style w:type="paragraph" w:customStyle="1" w:styleId="MediumGrid1-Accent21">
    <w:name w:val="Medium Grid 1 - Accent 21"/>
    <w:basedOn w:val="Normal"/>
    <w:uiPriority w:val="34"/>
    <w:qFormat/>
    <w:rsid w:val="00C24646"/>
    <w:pPr>
      <w:spacing w:after="40"/>
      <w:ind w:left="720"/>
    </w:pPr>
  </w:style>
  <w:style w:type="character" w:styleId="Hyperlink">
    <w:name w:val="Hyperlink"/>
    <w:uiPriority w:val="99"/>
    <w:unhideWhenUsed/>
    <w:rsid w:val="0056527A"/>
    <w:rPr>
      <w:color w:val="0000FF"/>
      <w:u w:val="single"/>
    </w:rPr>
  </w:style>
  <w:style w:type="paragraph" w:styleId="Header">
    <w:name w:val="header"/>
    <w:basedOn w:val="Normal"/>
    <w:link w:val="HeaderChar"/>
    <w:uiPriority w:val="99"/>
    <w:unhideWhenUsed/>
    <w:rsid w:val="00E9084E"/>
    <w:pPr>
      <w:tabs>
        <w:tab w:val="center" w:pos="4536"/>
        <w:tab w:val="right" w:pos="9072"/>
      </w:tabs>
    </w:pPr>
  </w:style>
  <w:style w:type="character" w:customStyle="1" w:styleId="HeaderChar">
    <w:name w:val="Header Char"/>
    <w:link w:val="Header"/>
    <w:uiPriority w:val="99"/>
    <w:rsid w:val="00E9084E"/>
    <w:rPr>
      <w:rFonts w:ascii="Times New Roman" w:hAnsi="Times New Roman"/>
    </w:rPr>
  </w:style>
  <w:style w:type="paragraph" w:styleId="Footer">
    <w:name w:val="footer"/>
    <w:basedOn w:val="Normal"/>
    <w:link w:val="FooterChar"/>
    <w:uiPriority w:val="99"/>
    <w:unhideWhenUsed/>
    <w:rsid w:val="00E9084E"/>
    <w:pPr>
      <w:tabs>
        <w:tab w:val="center" w:pos="4536"/>
        <w:tab w:val="right" w:pos="9072"/>
      </w:tabs>
    </w:pPr>
  </w:style>
  <w:style w:type="character" w:customStyle="1" w:styleId="FooterChar">
    <w:name w:val="Footer Char"/>
    <w:link w:val="Footer"/>
    <w:uiPriority w:val="99"/>
    <w:rsid w:val="00E9084E"/>
    <w:rPr>
      <w:rFonts w:ascii="Times New Roman" w:hAnsi="Times New Roman"/>
    </w:rPr>
  </w:style>
  <w:style w:type="table" w:styleId="TableGrid">
    <w:name w:val="Table Grid"/>
    <w:basedOn w:val="TableNormal"/>
    <w:uiPriority w:val="59"/>
    <w:rsid w:val="00E90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GTR 2 Char"/>
    <w:link w:val="Heading2"/>
    <w:uiPriority w:val="9"/>
    <w:rsid w:val="00723FAA"/>
    <w:rPr>
      <w:rFonts w:ascii="Calibri" w:hAnsi="Calibri"/>
      <w:b/>
      <w:color w:val="1B99D6"/>
      <w:sz w:val="32"/>
      <w:szCs w:val="24"/>
      <w:shd w:val="clear" w:color="auto" w:fill="DEEAF6" w:themeFill="accent1" w:themeFillTint="33"/>
      <w:lang w:eastAsia="ja-JP"/>
    </w:rPr>
  </w:style>
  <w:style w:type="character" w:customStyle="1" w:styleId="Heading3Char">
    <w:name w:val="Heading 3 Char"/>
    <w:aliases w:val="GTR 3 Char"/>
    <w:link w:val="Heading3"/>
    <w:uiPriority w:val="9"/>
    <w:rsid w:val="00BB319B"/>
    <w:rPr>
      <w:rFonts w:asciiTheme="majorHAnsi" w:hAnsiTheme="majorHAnsi"/>
      <w:b/>
      <w:color w:val="1B99D6"/>
      <w:sz w:val="28"/>
      <w:szCs w:val="24"/>
      <w:lang w:eastAsia="ja-JP"/>
    </w:rPr>
  </w:style>
  <w:style w:type="character" w:customStyle="1" w:styleId="Heading1Char">
    <w:name w:val="Heading 1 Char"/>
    <w:aliases w:val="GTR Titre Char"/>
    <w:link w:val="Heading1"/>
    <w:uiPriority w:val="9"/>
    <w:rsid w:val="00846348"/>
    <w:rPr>
      <w:rFonts w:ascii="Calibri" w:hAnsi="Calibri"/>
      <w:b/>
      <w:color w:val="0090D4"/>
      <w:sz w:val="48"/>
      <w:szCs w:val="48"/>
      <w:lang w:val="en-GB" w:eastAsia="ja-JP"/>
    </w:rPr>
  </w:style>
  <w:style w:type="paragraph" w:customStyle="1" w:styleId="PiedPage">
    <w:name w:val="PiedPage"/>
    <w:basedOn w:val="Normal"/>
    <w:link w:val="PiedPageCar"/>
    <w:qFormat/>
    <w:rsid w:val="00DC5A9D"/>
    <w:pPr>
      <w:jc w:val="center"/>
    </w:pPr>
    <w:rPr>
      <w:sz w:val="16"/>
      <w:szCs w:val="16"/>
    </w:rPr>
  </w:style>
  <w:style w:type="character" w:customStyle="1" w:styleId="PiedPageCar">
    <w:name w:val="PiedPage Car"/>
    <w:link w:val="PiedPage"/>
    <w:rsid w:val="00DC5A9D"/>
    <w:rPr>
      <w:rFonts w:ascii="National Regular" w:hAnsi="National Regular" w:cs="Times New Roman"/>
      <w:sz w:val="16"/>
      <w:szCs w:val="16"/>
      <w:lang w:val="fr-CH"/>
    </w:rPr>
  </w:style>
  <w:style w:type="paragraph" w:styleId="FootnoteText">
    <w:name w:val="footnote text"/>
    <w:basedOn w:val="Normal"/>
    <w:link w:val="FootnoteTextChar"/>
    <w:uiPriority w:val="99"/>
    <w:semiHidden/>
    <w:unhideWhenUsed/>
    <w:rsid w:val="00043AF2"/>
    <w:pPr>
      <w:spacing w:before="0" w:after="0"/>
    </w:pPr>
    <w:rPr>
      <w:sz w:val="20"/>
      <w:szCs w:val="20"/>
    </w:rPr>
  </w:style>
  <w:style w:type="character" w:customStyle="1" w:styleId="FootnoteTextChar">
    <w:name w:val="Footnote Text Char"/>
    <w:link w:val="FootnoteText"/>
    <w:uiPriority w:val="99"/>
    <w:semiHidden/>
    <w:rsid w:val="00043AF2"/>
    <w:rPr>
      <w:rFonts w:ascii="National Regular" w:hAnsi="National Regular" w:cs="Times New Roman"/>
      <w:sz w:val="20"/>
      <w:szCs w:val="20"/>
      <w:lang w:val="fr-CH"/>
    </w:rPr>
  </w:style>
  <w:style w:type="character" w:styleId="FootnoteReference">
    <w:name w:val="footnote reference"/>
    <w:uiPriority w:val="99"/>
    <w:semiHidden/>
    <w:unhideWhenUsed/>
    <w:rsid w:val="00043AF2"/>
    <w:rPr>
      <w:vertAlign w:val="superscript"/>
    </w:rPr>
  </w:style>
  <w:style w:type="character" w:customStyle="1" w:styleId="xbe">
    <w:name w:val="_xbe"/>
    <w:basedOn w:val="DefaultParagraphFont"/>
    <w:rsid w:val="00545133"/>
  </w:style>
  <w:style w:type="character" w:styleId="CommentReference">
    <w:name w:val="annotation reference"/>
    <w:uiPriority w:val="99"/>
    <w:semiHidden/>
    <w:unhideWhenUsed/>
    <w:rsid w:val="00491415"/>
    <w:rPr>
      <w:sz w:val="16"/>
      <w:szCs w:val="16"/>
    </w:rPr>
  </w:style>
  <w:style w:type="paragraph" w:styleId="CommentText">
    <w:name w:val="annotation text"/>
    <w:basedOn w:val="Normal"/>
    <w:link w:val="CommentTextChar"/>
    <w:uiPriority w:val="99"/>
    <w:semiHidden/>
    <w:unhideWhenUsed/>
    <w:rsid w:val="00491415"/>
    <w:rPr>
      <w:sz w:val="20"/>
      <w:szCs w:val="20"/>
    </w:rPr>
  </w:style>
  <w:style w:type="character" w:customStyle="1" w:styleId="CommentTextChar">
    <w:name w:val="Comment Text Char"/>
    <w:link w:val="CommentText"/>
    <w:uiPriority w:val="99"/>
    <w:semiHidden/>
    <w:rsid w:val="00491415"/>
    <w:rPr>
      <w:rFonts w:ascii="National Regular" w:hAnsi="National Regular" w:cs="Times New Roman"/>
      <w:sz w:val="20"/>
      <w:szCs w:val="20"/>
      <w:lang w:val="fr-CH"/>
    </w:rPr>
  </w:style>
  <w:style w:type="paragraph" w:styleId="CommentSubject">
    <w:name w:val="annotation subject"/>
    <w:basedOn w:val="CommentText"/>
    <w:next w:val="CommentText"/>
    <w:link w:val="CommentSubjectChar"/>
    <w:uiPriority w:val="99"/>
    <w:semiHidden/>
    <w:unhideWhenUsed/>
    <w:rsid w:val="00491415"/>
    <w:rPr>
      <w:b/>
      <w:bCs/>
    </w:rPr>
  </w:style>
  <w:style w:type="character" w:customStyle="1" w:styleId="CommentSubjectChar">
    <w:name w:val="Comment Subject Char"/>
    <w:link w:val="CommentSubject"/>
    <w:uiPriority w:val="99"/>
    <w:semiHidden/>
    <w:rsid w:val="00491415"/>
    <w:rPr>
      <w:rFonts w:ascii="National Regular" w:hAnsi="National Regular" w:cs="Times New Roman"/>
      <w:b/>
      <w:bCs/>
      <w:sz w:val="20"/>
      <w:szCs w:val="20"/>
      <w:lang w:val="fr-CH"/>
    </w:rPr>
  </w:style>
  <w:style w:type="character" w:customStyle="1" w:styleId="Heading4Char">
    <w:name w:val="Heading 4 Char"/>
    <w:basedOn w:val="DefaultParagraphFont"/>
    <w:link w:val="Heading4"/>
    <w:uiPriority w:val="9"/>
    <w:rsid w:val="00723FAA"/>
    <w:rPr>
      <w:rFonts w:asciiTheme="majorHAnsi" w:eastAsiaTheme="majorEastAsia" w:hAnsiTheme="majorHAnsi" w:cstheme="majorBidi"/>
      <w:iCs/>
      <w:color w:val="2E74B5" w:themeColor="accent1" w:themeShade="BF"/>
      <w:sz w:val="26"/>
      <w:szCs w:val="24"/>
      <w:lang w:eastAsia="ja-JP"/>
    </w:rPr>
  </w:style>
  <w:style w:type="character" w:customStyle="1" w:styleId="Heading5Char">
    <w:name w:val="Heading 5 Char"/>
    <w:basedOn w:val="DefaultParagraphFont"/>
    <w:link w:val="Heading5"/>
    <w:uiPriority w:val="9"/>
    <w:rsid w:val="00545799"/>
    <w:rPr>
      <w:rFonts w:asciiTheme="majorHAnsi" w:eastAsiaTheme="majorEastAsia" w:hAnsiTheme="majorHAnsi" w:cstheme="majorBidi"/>
      <w:color w:val="2E74B5" w:themeColor="accent1" w:themeShade="BF"/>
      <w:sz w:val="22"/>
      <w:szCs w:val="24"/>
      <w:lang w:eastAsia="ja-JP"/>
    </w:rPr>
  </w:style>
  <w:style w:type="character" w:customStyle="1" w:styleId="Heading6Char">
    <w:name w:val="Heading 6 Char"/>
    <w:basedOn w:val="DefaultParagraphFont"/>
    <w:link w:val="Heading6"/>
    <w:uiPriority w:val="9"/>
    <w:rsid w:val="00545799"/>
    <w:rPr>
      <w:rFonts w:asciiTheme="majorHAnsi" w:eastAsiaTheme="majorEastAsia" w:hAnsiTheme="majorHAnsi" w:cstheme="majorBidi"/>
      <w:color w:val="1F4D78" w:themeColor="accent1" w:themeShade="7F"/>
      <w:sz w:val="22"/>
      <w:szCs w:val="24"/>
      <w:lang w:eastAsia="ja-JP"/>
    </w:rPr>
  </w:style>
  <w:style w:type="paragraph" w:styleId="ListParagraph">
    <w:name w:val="List Paragraph"/>
    <w:basedOn w:val="Normal"/>
    <w:uiPriority w:val="34"/>
    <w:qFormat/>
    <w:rsid w:val="004D1816"/>
    <w:pPr>
      <w:ind w:left="720"/>
      <w:contextualSpacing/>
    </w:pPr>
  </w:style>
  <w:style w:type="paragraph" w:styleId="NormalWeb">
    <w:name w:val="Normal (Web)"/>
    <w:basedOn w:val="Normal"/>
    <w:uiPriority w:val="99"/>
    <w:semiHidden/>
    <w:unhideWhenUsed/>
    <w:rsid w:val="007C53B0"/>
    <w:pPr>
      <w:spacing w:before="100" w:beforeAutospacing="1" w:after="100" w:afterAutospacing="1"/>
      <w:ind w:left="0"/>
      <w:jc w:val="left"/>
    </w:pPr>
    <w:rPr>
      <w:rFonts w:ascii="Times New Roman" w:eastAsiaTheme="minorEastAsia" w:hAnsi="Times New Roman"/>
      <w:sz w:val="24"/>
      <w:lang w:eastAsia="fr-CH"/>
    </w:rPr>
  </w:style>
  <w:style w:type="paragraph" w:styleId="Title">
    <w:name w:val="Title"/>
    <w:basedOn w:val="Normal"/>
    <w:next w:val="Normal"/>
    <w:link w:val="TitleChar"/>
    <w:uiPriority w:val="10"/>
    <w:qFormat/>
    <w:rsid w:val="00DC4B98"/>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B98"/>
    <w:rPr>
      <w:rFonts w:asciiTheme="majorHAnsi" w:eastAsiaTheme="majorEastAsia" w:hAnsiTheme="majorHAnsi" w:cstheme="majorBidi"/>
      <w:spacing w:val="-10"/>
      <w:kern w:val="28"/>
      <w:sz w:val="56"/>
      <w:szCs w:val="56"/>
      <w:lang w:eastAsia="ja-JP"/>
    </w:rPr>
  </w:style>
  <w:style w:type="table" w:styleId="MediumList2-Accent1">
    <w:name w:val="Medium List 2 Accent 1"/>
    <w:basedOn w:val="TableNormal"/>
    <w:uiPriority w:val="66"/>
    <w:rsid w:val="00245ECB"/>
    <w:rPr>
      <w:rFonts w:asciiTheme="majorHAnsi" w:eastAsiaTheme="majorEastAsia" w:hAnsiTheme="majorHAnsi" w:cstheme="majorBidi"/>
      <w:color w:val="000000" w:themeColor="text1"/>
      <w:sz w:val="22"/>
      <w:szCs w:val="22"/>
      <w:lang w:val="fr-SN" w:eastAsia="fr-S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5Dark-Accent11">
    <w:name w:val="Grid Table 5 Dark - Accent 11"/>
    <w:basedOn w:val="TableNormal"/>
    <w:next w:val="GridTable5Dark-Accent12"/>
    <w:uiPriority w:val="50"/>
    <w:rsid w:val="007B2544"/>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
    <w:name w:val="Grid Table 5 Dark - Accent 12"/>
    <w:basedOn w:val="TableNormal"/>
    <w:uiPriority w:val="39"/>
    <w:qFormat/>
    <w:rsid w:val="007B25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0">
    <w:name w:val="Grid Table 5 Dark - Accent 12"/>
    <w:basedOn w:val="TableNormal"/>
    <w:next w:val="GridTable5Dark-Accent12"/>
    <w:uiPriority w:val="50"/>
    <w:qFormat/>
    <w:rsid w:val="007B2544"/>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3">
    <w:name w:val="Grid Table 5 Dark - Accent 13"/>
    <w:basedOn w:val="TableNormal"/>
    <w:next w:val="GridTable5Dark-Accent12"/>
    <w:uiPriority w:val="50"/>
    <w:rsid w:val="007B2544"/>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4">
    <w:name w:val="Grid Table 5 Dark - Accent 14"/>
    <w:basedOn w:val="TableNormal"/>
    <w:next w:val="GridTable5Dark-Accent12"/>
    <w:uiPriority w:val="50"/>
    <w:rsid w:val="007B2544"/>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
    <w:name w:val="Grid Table 5 Dark - Accent 15"/>
    <w:basedOn w:val="TableNormal"/>
    <w:next w:val="GridTable5Dark-Accent12"/>
    <w:uiPriority w:val="50"/>
    <w:rsid w:val="007066A1"/>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6">
    <w:name w:val="Grid Table 5 Dark - Accent 16"/>
    <w:basedOn w:val="TableNormal"/>
    <w:next w:val="GridTable5Dark-Accent12"/>
    <w:uiPriority w:val="50"/>
    <w:rsid w:val="00CD2913"/>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TOCHeading">
    <w:name w:val="TOC Heading"/>
    <w:basedOn w:val="Heading1"/>
    <w:next w:val="Normal"/>
    <w:uiPriority w:val="39"/>
    <w:unhideWhenUsed/>
    <w:qFormat/>
    <w:rsid w:val="00FE7EB8"/>
    <w:pPr>
      <w:keepNext/>
      <w:keepLines/>
      <w:spacing w:before="240" w:after="0" w:line="259" w:lineRule="auto"/>
      <w:ind w:left="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FE7EB8"/>
    <w:pPr>
      <w:spacing w:after="100"/>
      <w:ind w:left="220"/>
    </w:pPr>
  </w:style>
  <w:style w:type="paragraph" w:styleId="TOC3">
    <w:name w:val="toc 3"/>
    <w:basedOn w:val="Normal"/>
    <w:next w:val="Normal"/>
    <w:autoRedefine/>
    <w:uiPriority w:val="39"/>
    <w:unhideWhenUsed/>
    <w:rsid w:val="003A349F"/>
    <w:pPr>
      <w:tabs>
        <w:tab w:val="left" w:pos="1100"/>
        <w:tab w:val="right" w:leader="dot" w:pos="9630"/>
      </w:tabs>
      <w:spacing w:after="100"/>
      <w:ind w:left="440"/>
    </w:pPr>
    <w:rPr>
      <w:b/>
      <w:noProof/>
      <w:lang w:val="en-GB"/>
    </w:rPr>
  </w:style>
  <w:style w:type="paragraph" w:styleId="TOC4">
    <w:name w:val="toc 4"/>
    <w:basedOn w:val="Normal"/>
    <w:next w:val="Normal"/>
    <w:autoRedefine/>
    <w:uiPriority w:val="39"/>
    <w:unhideWhenUsed/>
    <w:rsid w:val="00CD5A06"/>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05312">
      <w:bodyDiv w:val="1"/>
      <w:marLeft w:val="0"/>
      <w:marRight w:val="0"/>
      <w:marTop w:val="0"/>
      <w:marBottom w:val="0"/>
      <w:divBdr>
        <w:top w:val="none" w:sz="0" w:space="0" w:color="auto"/>
        <w:left w:val="none" w:sz="0" w:space="0" w:color="auto"/>
        <w:bottom w:val="none" w:sz="0" w:space="0" w:color="auto"/>
        <w:right w:val="none" w:sz="0" w:space="0" w:color="auto"/>
      </w:divBdr>
    </w:div>
    <w:div w:id="320426615">
      <w:bodyDiv w:val="1"/>
      <w:marLeft w:val="0"/>
      <w:marRight w:val="0"/>
      <w:marTop w:val="0"/>
      <w:marBottom w:val="0"/>
      <w:divBdr>
        <w:top w:val="none" w:sz="0" w:space="0" w:color="auto"/>
        <w:left w:val="none" w:sz="0" w:space="0" w:color="auto"/>
        <w:bottom w:val="none" w:sz="0" w:space="0" w:color="auto"/>
        <w:right w:val="none" w:sz="0" w:space="0" w:color="auto"/>
      </w:divBdr>
      <w:divsChild>
        <w:div w:id="646669820">
          <w:marLeft w:val="0"/>
          <w:marRight w:val="0"/>
          <w:marTop w:val="0"/>
          <w:marBottom w:val="0"/>
          <w:divBdr>
            <w:top w:val="none" w:sz="0" w:space="0" w:color="auto"/>
            <w:left w:val="none" w:sz="0" w:space="0" w:color="auto"/>
            <w:bottom w:val="none" w:sz="0" w:space="0" w:color="auto"/>
            <w:right w:val="none" w:sz="0" w:space="0" w:color="auto"/>
          </w:divBdr>
          <w:divsChild>
            <w:div w:id="2112583022">
              <w:marLeft w:val="0"/>
              <w:marRight w:val="0"/>
              <w:marTop w:val="0"/>
              <w:marBottom w:val="0"/>
              <w:divBdr>
                <w:top w:val="none" w:sz="0" w:space="0" w:color="auto"/>
                <w:left w:val="none" w:sz="0" w:space="0" w:color="auto"/>
                <w:bottom w:val="none" w:sz="0" w:space="0" w:color="auto"/>
                <w:right w:val="none" w:sz="0" w:space="0" w:color="auto"/>
              </w:divBdr>
              <w:divsChild>
                <w:div w:id="102190936">
                  <w:marLeft w:val="0"/>
                  <w:marRight w:val="0"/>
                  <w:marTop w:val="0"/>
                  <w:marBottom w:val="0"/>
                  <w:divBdr>
                    <w:top w:val="none" w:sz="0" w:space="0" w:color="auto"/>
                    <w:left w:val="none" w:sz="0" w:space="0" w:color="auto"/>
                    <w:bottom w:val="none" w:sz="0" w:space="0" w:color="auto"/>
                    <w:right w:val="none" w:sz="0" w:space="0" w:color="auto"/>
                  </w:divBdr>
                  <w:divsChild>
                    <w:div w:id="20199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8421">
      <w:bodyDiv w:val="1"/>
      <w:marLeft w:val="0"/>
      <w:marRight w:val="0"/>
      <w:marTop w:val="0"/>
      <w:marBottom w:val="0"/>
      <w:divBdr>
        <w:top w:val="none" w:sz="0" w:space="0" w:color="auto"/>
        <w:left w:val="none" w:sz="0" w:space="0" w:color="auto"/>
        <w:bottom w:val="none" w:sz="0" w:space="0" w:color="auto"/>
        <w:right w:val="none" w:sz="0" w:space="0" w:color="auto"/>
      </w:divBdr>
    </w:div>
    <w:div w:id="767895262">
      <w:bodyDiv w:val="1"/>
      <w:marLeft w:val="0"/>
      <w:marRight w:val="0"/>
      <w:marTop w:val="0"/>
      <w:marBottom w:val="0"/>
      <w:divBdr>
        <w:top w:val="none" w:sz="0" w:space="0" w:color="auto"/>
        <w:left w:val="none" w:sz="0" w:space="0" w:color="auto"/>
        <w:bottom w:val="none" w:sz="0" w:space="0" w:color="auto"/>
        <w:right w:val="none" w:sz="0" w:space="0" w:color="auto"/>
      </w:divBdr>
    </w:div>
    <w:div w:id="959383259">
      <w:bodyDiv w:val="1"/>
      <w:marLeft w:val="0"/>
      <w:marRight w:val="0"/>
      <w:marTop w:val="0"/>
      <w:marBottom w:val="0"/>
      <w:divBdr>
        <w:top w:val="none" w:sz="0" w:space="0" w:color="auto"/>
        <w:left w:val="none" w:sz="0" w:space="0" w:color="auto"/>
        <w:bottom w:val="none" w:sz="0" w:space="0" w:color="auto"/>
        <w:right w:val="none" w:sz="0" w:space="0" w:color="auto"/>
      </w:divBdr>
    </w:div>
    <w:div w:id="1088572950">
      <w:bodyDiv w:val="1"/>
      <w:marLeft w:val="0"/>
      <w:marRight w:val="0"/>
      <w:marTop w:val="0"/>
      <w:marBottom w:val="0"/>
      <w:divBdr>
        <w:top w:val="none" w:sz="0" w:space="0" w:color="auto"/>
        <w:left w:val="none" w:sz="0" w:space="0" w:color="auto"/>
        <w:bottom w:val="none" w:sz="0" w:space="0" w:color="auto"/>
        <w:right w:val="none" w:sz="0" w:space="0" w:color="auto"/>
      </w:divBdr>
    </w:div>
    <w:div w:id="1134517003">
      <w:bodyDiv w:val="1"/>
      <w:marLeft w:val="0"/>
      <w:marRight w:val="0"/>
      <w:marTop w:val="0"/>
      <w:marBottom w:val="0"/>
      <w:divBdr>
        <w:top w:val="none" w:sz="0" w:space="0" w:color="auto"/>
        <w:left w:val="none" w:sz="0" w:space="0" w:color="auto"/>
        <w:bottom w:val="none" w:sz="0" w:space="0" w:color="auto"/>
        <w:right w:val="none" w:sz="0" w:space="0" w:color="auto"/>
      </w:divBdr>
    </w:div>
    <w:div w:id="1336377166">
      <w:bodyDiv w:val="1"/>
      <w:marLeft w:val="0"/>
      <w:marRight w:val="0"/>
      <w:marTop w:val="0"/>
      <w:marBottom w:val="0"/>
      <w:divBdr>
        <w:top w:val="none" w:sz="0" w:space="0" w:color="auto"/>
        <w:left w:val="none" w:sz="0" w:space="0" w:color="auto"/>
        <w:bottom w:val="none" w:sz="0" w:space="0" w:color="auto"/>
        <w:right w:val="none" w:sz="0" w:space="0" w:color="auto"/>
      </w:divBdr>
    </w:div>
    <w:div w:id="1449859871">
      <w:bodyDiv w:val="1"/>
      <w:marLeft w:val="0"/>
      <w:marRight w:val="0"/>
      <w:marTop w:val="0"/>
      <w:marBottom w:val="0"/>
      <w:divBdr>
        <w:top w:val="none" w:sz="0" w:space="0" w:color="auto"/>
        <w:left w:val="none" w:sz="0" w:space="0" w:color="auto"/>
        <w:bottom w:val="none" w:sz="0" w:space="0" w:color="auto"/>
        <w:right w:val="none" w:sz="0" w:space="0" w:color="auto"/>
      </w:divBdr>
    </w:div>
    <w:div w:id="1896743426">
      <w:bodyDiv w:val="1"/>
      <w:marLeft w:val="0"/>
      <w:marRight w:val="0"/>
      <w:marTop w:val="0"/>
      <w:marBottom w:val="0"/>
      <w:divBdr>
        <w:top w:val="none" w:sz="0" w:space="0" w:color="auto"/>
        <w:left w:val="none" w:sz="0" w:space="0" w:color="auto"/>
        <w:bottom w:val="none" w:sz="0" w:space="0" w:color="auto"/>
        <w:right w:val="none" w:sz="0" w:space="0" w:color="auto"/>
      </w:divBdr>
    </w:div>
    <w:div w:id="2130584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3.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2.jfif"/><Relationship Id="rId1" Type="http://schemas.openxmlformats.org/officeDocument/2006/relationships/image" Target="media/image11.jfif"/></Relationships>
</file>

<file path=word/_rels/header1.xml.rels><?xml version="1.0" encoding="UTF-8" standalone="yes"?>
<Relationships xmlns="http://schemas.openxmlformats.org/package/2006/relationships"><Relationship Id="rId3" Type="http://schemas.openxmlformats.org/officeDocument/2006/relationships/image" Target="media/image9.jfif"/><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2.jfif"/><Relationship Id="rId5" Type="http://schemas.openxmlformats.org/officeDocument/2006/relationships/image" Target="media/image11.jfif"/><Relationship Id="rId4" Type="http://schemas.openxmlformats.org/officeDocument/2006/relationships/image" Target="media/image10.jpg"/></Relationships>
</file>

<file path=word/_rels/header2.xml.rels><?xml version="1.0" encoding="UTF-8" standalone="yes"?>
<Relationships xmlns="http://schemas.openxmlformats.org/package/2006/relationships"><Relationship Id="rId3" Type="http://schemas.openxmlformats.org/officeDocument/2006/relationships/image" Target="media/image9.jfif"/><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2FF23057F70248841BB6BF42DA4F38" ma:contentTypeVersion="13" ma:contentTypeDescription="Create a new document." ma:contentTypeScope="" ma:versionID="4ec25be8b2884ab4669e51632daa201f">
  <xsd:schema xmlns:xsd="http://www.w3.org/2001/XMLSchema" xmlns:xs="http://www.w3.org/2001/XMLSchema" xmlns:p="http://schemas.microsoft.com/office/2006/metadata/properties" xmlns:ns2="efcde4b6-0976-48cc-a637-59ff6e92693d" xmlns:ns3="caf5c767-f39c-48b0-bcf6-6a8d6dcf00f1" targetNamespace="http://schemas.microsoft.com/office/2006/metadata/properties" ma:root="true" ma:fieldsID="0e1de403e16ed0adfdf0b61ccb145ca8" ns2:_="" ns3:_="">
    <xsd:import namespace="efcde4b6-0976-48cc-a637-59ff6e92693d"/>
    <xsd:import namespace="caf5c767-f39c-48b0-bcf6-6a8d6dcf00f1"/>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de4b6-0976-48cc-a637-59ff6e92693d"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f5c767-f39c-48b0-bcf6-6a8d6dcf00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9F8045-B989-4DB4-AC2E-B40CC95072FE}">
  <ds:schemaRefs>
    <ds:schemaRef ds:uri="http://schemas.microsoft.com/sharepoint/v3/contenttype/forms"/>
  </ds:schemaRefs>
</ds:datastoreItem>
</file>

<file path=customXml/itemProps2.xml><?xml version="1.0" encoding="utf-8"?>
<ds:datastoreItem xmlns:ds="http://schemas.openxmlformats.org/officeDocument/2006/customXml" ds:itemID="{87E53E53-BD29-448F-B3A8-3E87611A61E6}">
  <ds:schemaRefs>
    <ds:schemaRef ds:uri="http://schemas.openxmlformats.org/officeDocument/2006/bibliography"/>
  </ds:schemaRefs>
</ds:datastoreItem>
</file>

<file path=customXml/itemProps3.xml><?xml version="1.0" encoding="utf-8"?>
<ds:datastoreItem xmlns:ds="http://schemas.openxmlformats.org/officeDocument/2006/customXml" ds:itemID="{A34ADED5-FE7C-4668-8BA0-5CC30E0DD016}">
  <ds:schemaRefs>
    <ds:schemaRef ds:uri="http://schemas.microsoft.com/office/2006/metadata/properties"/>
    <ds:schemaRef ds:uri="http://schemas.microsoft.com/office/infopath/2007/PartnerControls"/>
    <ds:schemaRef ds:uri="ee6477f5-d683-465b-af7c-b7938d99c057"/>
  </ds:schemaRefs>
</ds:datastoreItem>
</file>

<file path=customXml/itemProps4.xml><?xml version="1.0" encoding="utf-8"?>
<ds:datastoreItem xmlns:ds="http://schemas.openxmlformats.org/officeDocument/2006/customXml" ds:itemID="{0734353C-CFBF-427A-B7EA-8F2C1CE738FC}"/>
</file>

<file path=docProps/app.xml><?xml version="1.0" encoding="utf-8"?>
<Properties xmlns="http://schemas.openxmlformats.org/officeDocument/2006/extended-properties" xmlns:vt="http://schemas.openxmlformats.org/officeDocument/2006/docPropsVTypes">
  <Template>Normal</Template>
  <TotalTime>1</TotalTime>
  <Pages>7</Pages>
  <Words>7685</Words>
  <Characters>43809</Characters>
  <Application>Microsoft Office Word</Application>
  <DocSecurity>0</DocSecurity>
  <Lines>365</Lines>
  <Paragraphs>102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IUKB</Company>
  <LinksUpToDate>false</LinksUpToDate>
  <CharactersWithSpaces>51392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Bréthaut</dc:creator>
  <cp:lastModifiedBy>Jean Willemin</cp:lastModifiedBy>
  <cp:revision>4</cp:revision>
  <cp:lastPrinted>2020-10-16T14:54:00Z</cp:lastPrinted>
  <dcterms:created xsi:type="dcterms:W3CDTF">2020-11-28T21:37:00Z</dcterms:created>
  <dcterms:modified xsi:type="dcterms:W3CDTF">2021-12-17T09:53:00Z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0x010100342FF23057F70248841BB6BF42DA4F38</vt:lpwstr>
  </property>
</Properties>
</file>